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73" w:rsidRDefault="000F6773" w:rsidP="00092D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проведения НОК </w:t>
      </w:r>
      <w:r w:rsidR="00D42E36">
        <w:rPr>
          <w:rFonts w:ascii="Times New Roman" w:eastAsia="Times New Roman" w:hAnsi="Times New Roman" w:cs="Times New Roman"/>
          <w:b/>
          <w:sz w:val="28"/>
          <w:szCs w:val="28"/>
        </w:rPr>
        <w:t>в МАУ «Кабанская центральная межпоселенческая библиотека»</w:t>
      </w:r>
      <w:r w:rsidR="001D594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92D25" w:rsidRPr="00092D25" w:rsidRDefault="00092D25" w:rsidP="00092D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D25">
        <w:rPr>
          <w:rFonts w:ascii="Times New Roman" w:eastAsia="Times New Roman" w:hAnsi="Times New Roman" w:cs="Times New Roman"/>
          <w:b/>
          <w:sz w:val="28"/>
          <w:szCs w:val="28"/>
        </w:rPr>
        <w:t>По результатам исследования:</w:t>
      </w:r>
    </w:p>
    <w:p w:rsidR="00092D25" w:rsidRPr="00CA5969" w:rsidRDefault="00092D25" w:rsidP="00092D25">
      <w:pPr>
        <w:numPr>
          <w:ilvl w:val="0"/>
          <w:numId w:val="1"/>
        </w:numPr>
        <w:tabs>
          <w:tab w:val="left" w:pos="794"/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969">
        <w:rPr>
          <w:rFonts w:ascii="Times New Roman" w:eastAsia="Times New Roman" w:hAnsi="Times New Roman" w:cs="Times New Roman"/>
          <w:sz w:val="28"/>
          <w:szCs w:val="28"/>
        </w:rPr>
        <w:t xml:space="preserve">проведен анализ открытости и доступности информации о </w:t>
      </w:r>
      <w:r w:rsidRPr="00CA5969">
        <w:rPr>
          <w:rFonts w:ascii="Times New Roman" w:hAnsi="Times New Roman" w:cs="Times New Roman"/>
          <w:sz w:val="28"/>
          <w:szCs w:val="28"/>
        </w:rPr>
        <w:t>муниципальных библиотеках Кабанского района Республики Бурятия</w:t>
      </w:r>
      <w:r w:rsidRPr="00CA59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2D25" w:rsidRPr="00CA5969" w:rsidRDefault="00092D25" w:rsidP="00092D25">
      <w:pPr>
        <w:numPr>
          <w:ilvl w:val="0"/>
          <w:numId w:val="1"/>
        </w:numPr>
        <w:tabs>
          <w:tab w:val="left" w:pos="794"/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969">
        <w:rPr>
          <w:rFonts w:ascii="Times New Roman" w:eastAsia="Times New Roman" w:hAnsi="Times New Roman" w:cs="Times New Roman"/>
          <w:sz w:val="28"/>
          <w:szCs w:val="28"/>
        </w:rPr>
        <w:t>проведен анализ комфортности условий предоставления  услуг и доступности их получения;</w:t>
      </w:r>
    </w:p>
    <w:p w:rsidR="00092D25" w:rsidRPr="00CA5969" w:rsidRDefault="00092D25" w:rsidP="00092D25">
      <w:pPr>
        <w:numPr>
          <w:ilvl w:val="0"/>
          <w:numId w:val="1"/>
        </w:numPr>
        <w:tabs>
          <w:tab w:val="left" w:pos="794"/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969">
        <w:rPr>
          <w:rFonts w:ascii="Times New Roman" w:eastAsia="Times New Roman" w:hAnsi="Times New Roman" w:cs="Times New Roman"/>
          <w:sz w:val="28"/>
          <w:szCs w:val="28"/>
        </w:rPr>
        <w:t xml:space="preserve">изучено и проанализировано отношение  получателей услуг с точки зрения доброжелательности, вежливости и компетентности работников </w:t>
      </w:r>
      <w:r w:rsidRPr="00CA5969">
        <w:rPr>
          <w:rFonts w:ascii="Times New Roman" w:hAnsi="Times New Roman" w:cs="Times New Roman"/>
          <w:sz w:val="28"/>
          <w:szCs w:val="28"/>
        </w:rPr>
        <w:t>муниципальных библиотек Кабанского района Республики Бурятия</w:t>
      </w:r>
      <w:r w:rsidRPr="00CA59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2D25" w:rsidRPr="00CA5969" w:rsidRDefault="00092D25" w:rsidP="00092D25">
      <w:pPr>
        <w:numPr>
          <w:ilvl w:val="0"/>
          <w:numId w:val="1"/>
        </w:numPr>
        <w:tabs>
          <w:tab w:val="left" w:pos="794"/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969">
        <w:rPr>
          <w:rFonts w:ascii="Times New Roman" w:eastAsia="Times New Roman" w:hAnsi="Times New Roman" w:cs="Times New Roman"/>
          <w:sz w:val="28"/>
          <w:szCs w:val="28"/>
        </w:rPr>
        <w:t>проведен анализ удовлетворенности качеством оказания услуг;</w:t>
      </w:r>
    </w:p>
    <w:p w:rsidR="00092D25" w:rsidRPr="00092D25" w:rsidRDefault="00092D25" w:rsidP="00092D25">
      <w:pPr>
        <w:numPr>
          <w:ilvl w:val="0"/>
          <w:numId w:val="1"/>
        </w:numPr>
        <w:tabs>
          <w:tab w:val="left" w:pos="794"/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969">
        <w:rPr>
          <w:rFonts w:ascii="Times New Roman" w:eastAsia="Times New Roman" w:hAnsi="Times New Roman" w:cs="Times New Roman"/>
          <w:sz w:val="28"/>
          <w:szCs w:val="28"/>
        </w:rPr>
        <w:t xml:space="preserve">разработаны мероприятия по улучшению качества оказания услуг в </w:t>
      </w:r>
      <w:r w:rsidRPr="00CA5969">
        <w:rPr>
          <w:rFonts w:ascii="Times New Roman" w:hAnsi="Times New Roman" w:cs="Times New Roman"/>
          <w:sz w:val="28"/>
          <w:szCs w:val="28"/>
        </w:rPr>
        <w:t>муниципальных библиотеках Кабанского района Республики Бурятия.</w:t>
      </w:r>
    </w:p>
    <w:p w:rsidR="00092D25" w:rsidRDefault="00092D25" w:rsidP="00092D2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D25">
        <w:rPr>
          <w:rFonts w:ascii="Times New Roman" w:eastAsia="Times New Roman" w:hAnsi="Times New Roman" w:cs="Times New Roman"/>
          <w:sz w:val="28"/>
          <w:szCs w:val="28"/>
        </w:rPr>
        <w:t>Основные методы, используемые в исследовании: количественные, статистические, в том числе анализ линейных распределений, корреляционный анализ.</w:t>
      </w:r>
    </w:p>
    <w:p w:rsidR="00092D25" w:rsidRDefault="00092D25" w:rsidP="00092D2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D25">
        <w:rPr>
          <w:rFonts w:ascii="Times New Roman" w:eastAsia="Times New Roman" w:hAnsi="Times New Roman" w:cs="Times New Roman"/>
          <w:sz w:val="28"/>
          <w:szCs w:val="28"/>
        </w:rPr>
        <w:t xml:space="preserve">В исследовании использована многоступенчатая типологическая выборка с применением квотных значений на последней стадии отбора респондентов. При определении объема и структуры выборки учтены репрезентативность результатов опроса по количеству граждан, проживающих в Кабанском районе Республики Бурятия, половозрастной и </w:t>
      </w:r>
      <w:proofErr w:type="gramStart"/>
      <w:r w:rsidRPr="00092D25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proofErr w:type="gramEnd"/>
      <w:r w:rsidRPr="00092D25">
        <w:rPr>
          <w:rFonts w:ascii="Times New Roman" w:eastAsia="Times New Roman" w:hAnsi="Times New Roman" w:cs="Times New Roman"/>
          <w:sz w:val="28"/>
          <w:szCs w:val="28"/>
        </w:rPr>
        <w:t xml:space="preserve"> составы респондентов.</w:t>
      </w:r>
    </w:p>
    <w:p w:rsidR="00092D25" w:rsidRPr="00092D25" w:rsidRDefault="00092D25" w:rsidP="00092D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182">
        <w:rPr>
          <w:rFonts w:ascii="Times New Roman" w:hAnsi="Times New Roman" w:cs="Times New Roman"/>
          <w:sz w:val="28"/>
          <w:szCs w:val="28"/>
        </w:rPr>
        <w:t>Телефонный опрос жителей Кабанского района методом «Снежного кома» включал вопросы, соответствующие вопросам анкеты, и был проведен в течение 25-28 ноября 2016 г. Количество респондент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36182">
        <w:rPr>
          <w:rFonts w:ascii="Times New Roman" w:hAnsi="Times New Roman" w:cs="Times New Roman"/>
          <w:sz w:val="28"/>
          <w:szCs w:val="28"/>
        </w:rPr>
        <w:t>в – 152 человека.</w:t>
      </w:r>
    </w:p>
    <w:p w:rsidR="00092D25" w:rsidRPr="00C037A5" w:rsidRDefault="00092D25" w:rsidP="00092D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37A5">
        <w:rPr>
          <w:rFonts w:ascii="Times New Roman" w:eastAsia="Calibri" w:hAnsi="Times New Roman" w:cs="Times New Roman"/>
          <w:sz w:val="28"/>
          <w:szCs w:val="28"/>
        </w:rPr>
        <w:t>Ввод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данных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статистический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анализ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производится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помощью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прикладной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C037A5">
        <w:rPr>
          <w:rFonts w:ascii="Times New Roman" w:eastAsia="TimesNewRomanPSMT" w:hAnsi="Times New Roman" w:cs="Times New Roman"/>
          <w:sz w:val="28"/>
          <w:szCs w:val="28"/>
        </w:rPr>
        <w:t xml:space="preserve"> SPSS </w:t>
      </w:r>
      <w:proofErr w:type="spellStart"/>
      <w:r w:rsidRPr="00C037A5">
        <w:rPr>
          <w:rFonts w:ascii="Times New Roman" w:eastAsia="TimesNewRomanPSMT" w:hAnsi="Times New Roman" w:cs="Times New Roman"/>
          <w:sz w:val="28"/>
          <w:szCs w:val="28"/>
        </w:rPr>
        <w:t>Statistics</w:t>
      </w:r>
      <w:proofErr w:type="spellEnd"/>
      <w:r w:rsidRPr="00C037A5">
        <w:rPr>
          <w:rFonts w:ascii="Times New Roman" w:eastAsia="TimesNewRomanPSMT" w:hAnsi="Times New Roman" w:cs="Times New Roman"/>
          <w:sz w:val="28"/>
          <w:szCs w:val="28"/>
        </w:rPr>
        <w:t xml:space="preserve"> 17.0.</w:t>
      </w:r>
    </w:p>
    <w:p w:rsidR="00092D25" w:rsidRDefault="00092D25" w:rsidP="00092D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037A5">
        <w:rPr>
          <w:rFonts w:ascii="Times New Roman" w:eastAsia="Calibri" w:hAnsi="Times New Roman" w:cs="Times New Roman"/>
          <w:sz w:val="28"/>
          <w:szCs w:val="28"/>
        </w:rPr>
        <w:t>Инструменты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исследования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представлены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виде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анкеты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 w:rsidRPr="00C037A5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Pr="00C037A5">
        <w:rPr>
          <w:rFonts w:ascii="Times New Roman" w:eastAsia="Calibri" w:hAnsi="Times New Roman" w:cs="Times New Roman"/>
          <w:sz w:val="28"/>
          <w:szCs w:val="28"/>
        </w:rPr>
        <w:t>клиентов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C037A5">
        <w:rPr>
          <w:rFonts w:ascii="Times New Roman" w:eastAsia="TimesNewRomanPSMT" w:hAnsi="Times New Roman" w:cs="Times New Roman"/>
          <w:sz w:val="28"/>
          <w:szCs w:val="28"/>
        </w:rPr>
        <w:t xml:space="preserve">); </w:t>
      </w:r>
      <w:r w:rsidRPr="00C037A5">
        <w:rPr>
          <w:rFonts w:ascii="Times New Roman" w:eastAsia="Calibri" w:hAnsi="Times New Roman" w:cs="Times New Roman"/>
          <w:sz w:val="28"/>
          <w:szCs w:val="28"/>
        </w:rPr>
        <w:t>листа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наблюдения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C037A5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037A5">
        <w:rPr>
          <w:rFonts w:ascii="Times New Roman" w:eastAsia="Calibri" w:hAnsi="Times New Roman" w:cs="Times New Roman"/>
          <w:sz w:val="28"/>
          <w:szCs w:val="28"/>
        </w:rPr>
        <w:t>ресурсов</w:t>
      </w:r>
      <w:r w:rsidRPr="00C037A5">
        <w:rPr>
          <w:rFonts w:ascii="Times New Roman" w:eastAsia="TimesNewRomanPSMT" w:hAnsi="Times New Roman" w:cs="Times New Roman"/>
          <w:sz w:val="28"/>
          <w:szCs w:val="28"/>
        </w:rPr>
        <w:t>;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037A5">
        <w:rPr>
          <w:rFonts w:ascii="Times New Roman" w:eastAsia="Times New Roman" w:hAnsi="Times New Roman" w:cs="Times New Roman"/>
          <w:sz w:val="28"/>
          <w:szCs w:val="28"/>
        </w:rPr>
        <w:t>листа (протокола) наблюдения экспертов</w:t>
      </w:r>
      <w:r w:rsidRPr="00C037A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0F6773" w:rsidRDefault="000F6773" w:rsidP="00092D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Муниципальные библиотеки Кабанского района оценивались по следующим показателям:</w:t>
      </w:r>
    </w:p>
    <w:tbl>
      <w:tblPr>
        <w:tblW w:w="5228" w:type="pct"/>
        <w:tblInd w:w="-364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4329"/>
        <w:gridCol w:w="1518"/>
        <w:gridCol w:w="1808"/>
        <w:gridCol w:w="1754"/>
      </w:tblGrid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Единица измерения (значение показателя)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значение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Открытость и доступность информации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(от 0 до 12</w:t>
            </w: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организации культуры, место нахождения, почтовый адрес, схема проезда, адрес электронной почты, структура организации культуры, сведения об учредителе (учредителях), учредительные документы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государственного/муниципального задания, отчет о результатах деятельности организации культуры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7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предоставления услуг и 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упность их получения (от 0 до 39</w:t>
            </w: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Уровень комфортности пребывания в организации культуры (места для сидения, гардероб, чистота помещений)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773">
              <w:rPr>
                <w:rFonts w:ascii="Times New Roman" w:hAnsi="Times New Roman" w:cs="Times New Roman"/>
                <w:b/>
                <w:sz w:val="28"/>
                <w:szCs w:val="28"/>
              </w:rPr>
              <w:t>4,75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услуг, предоставляемых организацией культуры. Ограничения по ассортименту услуг, ограничения по потребителям услуг. Дополнительные услуги, предоставляемые организацией культуры. Услуги, предоставляемые на платной </w:t>
            </w:r>
            <w:r w:rsidRPr="00995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основе. Стоимость услуг. Предоставление преимущественного права пользования услугами учреждения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0 до 5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возможности навигации по сайту при отключении графических элементов оформления сайта, карты сайта. Время доступности информации с учетом перерывов в работе сайта. Наличие независимой системы учета посещений сайта. Раскрытие </w:t>
            </w:r>
            <w:proofErr w:type="gramStart"/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информации независимой системы учета посещений сайта</w:t>
            </w:r>
            <w:proofErr w:type="gramEnd"/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. Наличие встроенной системы контекстного поиска по сайту. Бесплатность, доступность информации на сайте. Отсутствие нарушений отображения, форматирования или иных дефектов информации на сайте. Дата и время размещения информации. Доступ к разделу "Независимая оценка качества предоставления услуг" должен быть обеспечен не более чем за 2 перехода по сайту с использованием меню навигации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Стоимость дополнительных услуг (ксерокопирование, заказ книги в другой библиотеке, информирование о возврате нужной книги, возможность отложить книгу)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9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773">
              <w:rPr>
                <w:rFonts w:ascii="Times New Roman" w:hAnsi="Times New Roman" w:cs="Times New Roman"/>
                <w:b/>
                <w:sz w:val="28"/>
                <w:szCs w:val="28"/>
              </w:rPr>
              <w:t>7,8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Транспортная и пешая доступность организации культуры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773">
              <w:rPr>
                <w:rFonts w:ascii="Times New Roman" w:hAnsi="Times New Roman" w:cs="Times New Roman"/>
                <w:b/>
                <w:sz w:val="28"/>
                <w:szCs w:val="28"/>
              </w:rPr>
              <w:t>4,64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 xml:space="preserve">Наличие электронных билетов/наличие электронного бронирования билетов/наличие электронной очереди/наличие </w:t>
            </w:r>
            <w:r w:rsidRPr="00995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электронных каталогов/наличие электронных документов, доступных для получения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0 до 5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3B54E0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54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Удобство пользования электронными сервисами, предоставляемыми учреждением посетителям (в том числе и с помощью мобильных устройств)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7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,19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Время ожидания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редоставления услуги (от 0 до 14</w:t>
            </w: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Удобство графика работы организации культуры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7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773">
              <w:rPr>
                <w:rFonts w:ascii="Times New Roman" w:hAnsi="Times New Roman" w:cs="Times New Roman"/>
                <w:b/>
                <w:sz w:val="28"/>
                <w:szCs w:val="28"/>
              </w:rPr>
              <w:t>6,42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Простота/удобство электронного каталога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7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7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6,42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Доброжелательность, вежливость и компетентность персонала организации культуры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7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773">
              <w:rPr>
                <w:rFonts w:ascii="Times New Roman" w:hAnsi="Times New Roman" w:cs="Times New Roman"/>
                <w:b/>
                <w:sz w:val="28"/>
                <w:szCs w:val="28"/>
              </w:rPr>
              <w:t>6,93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Фамилии, имена, отчества, должности руководящего состава организации культуры, ее структурных подразделений и филиалов (при их наличии), режим, график работы; контактные телефоны, адреса электронной почты, раздел для направления предложений по улучшению качества услуг организации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7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12,93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ством оказания услуг (от 0 до 21</w:t>
            </w: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качеством оказания услуг организации культуры в целом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7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Порядок оценки качества работы организации на основании определенных критериев эффективности работы организаций, утвержденный уполномоченным федеральным органом исполнительной власти;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улучшению качества работы организации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6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Наличие информации о новых изданиях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663">
              <w:rPr>
                <w:rFonts w:ascii="Times New Roman" w:hAnsi="Times New Roman" w:cs="Times New Roman"/>
                <w:sz w:val="28"/>
                <w:szCs w:val="28"/>
              </w:rPr>
              <w:t>от 0 до 10 баллов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773">
              <w:rPr>
                <w:rFonts w:ascii="Times New Roman" w:hAnsi="Times New Roman" w:cs="Times New Roman"/>
                <w:b/>
                <w:sz w:val="28"/>
                <w:szCs w:val="28"/>
              </w:rPr>
              <w:t>8,9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773" w:rsidRPr="00995663" w:rsidTr="00546EB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99566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</w:tr>
      <w:tr w:rsidR="000F6773" w:rsidRPr="00995663" w:rsidTr="00546EB0">
        <w:tc>
          <w:tcPr>
            <w:tcW w:w="4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(средневзвешенное значение по всем оценкам за все периоды)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3" w:rsidRPr="001D5949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9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spellStart"/>
            <w:r w:rsidRPr="001D59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proofErr w:type="spellEnd"/>
            <w:r w:rsidRPr="001D5949">
              <w:rPr>
                <w:rFonts w:ascii="Times New Roman" w:hAnsi="Times New Roman" w:cs="Times New Roman"/>
                <w:b/>
                <w:sz w:val="28"/>
                <w:szCs w:val="28"/>
              </w:rPr>
              <w:t>,44</w:t>
            </w:r>
          </w:p>
        </w:tc>
      </w:tr>
    </w:tbl>
    <w:p w:rsidR="00092D25" w:rsidRDefault="00092D25" w:rsidP="00092D25">
      <w:pPr>
        <w:tabs>
          <w:tab w:val="left" w:pos="794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6773" w:rsidRPr="00C702C7" w:rsidRDefault="000F6773" w:rsidP="000F6773">
      <w:pPr>
        <w:tabs>
          <w:tab w:val="left" w:pos="1134"/>
          <w:tab w:val="left" w:pos="1276"/>
        </w:tabs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3FAF">
        <w:rPr>
          <w:rFonts w:ascii="Times New Roman" w:hAnsi="Times New Roman" w:cs="Times New Roman"/>
          <w:sz w:val="28"/>
          <w:szCs w:val="28"/>
        </w:rPr>
        <w:t>Таблица №2</w:t>
      </w:r>
    </w:p>
    <w:p w:rsidR="000F6773" w:rsidRPr="00F93FAF" w:rsidRDefault="000F6773" w:rsidP="000F677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F6773" w:rsidRDefault="000F6773" w:rsidP="000F6773">
      <w:pPr>
        <w:spacing w:after="0"/>
        <w:jc w:val="center"/>
      </w:pPr>
      <w:r w:rsidRPr="00F93FAF">
        <w:rPr>
          <w:rFonts w:ascii="Times New Roman" w:hAnsi="Times New Roman" w:cs="Times New Roman"/>
          <w:b/>
          <w:sz w:val="28"/>
          <w:szCs w:val="28"/>
        </w:rPr>
        <w:t>Оценка уровня открытости и доступности информа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ции муниципальных учреждений культуры Кабанского района </w:t>
      </w:r>
      <w:r w:rsidRPr="00F93FAF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 </w:t>
      </w:r>
      <w:hyperlink r:id="rId6" w:history="1">
        <w:r w:rsidRPr="00F93FA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F93FA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F93FA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bus</w:t>
        </w:r>
        <w:r w:rsidRPr="00F93FA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93FA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proofErr w:type="spellEnd"/>
        <w:r w:rsidRPr="00F93FA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93FA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0F6773" w:rsidRPr="00CA5969" w:rsidRDefault="000F6773" w:rsidP="00092D25">
      <w:pPr>
        <w:tabs>
          <w:tab w:val="left" w:pos="794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850"/>
        <w:gridCol w:w="851"/>
        <w:gridCol w:w="1134"/>
        <w:gridCol w:w="992"/>
        <w:gridCol w:w="850"/>
        <w:gridCol w:w="1134"/>
        <w:gridCol w:w="993"/>
        <w:gridCol w:w="708"/>
      </w:tblGrid>
      <w:tr w:rsidR="000F6773" w:rsidRPr="000F7E31" w:rsidTr="000F6773">
        <w:tc>
          <w:tcPr>
            <w:tcW w:w="1668" w:type="dxa"/>
          </w:tcPr>
          <w:p w:rsidR="000F6773" w:rsidRPr="000F7E31" w:rsidRDefault="000F6773" w:rsidP="00546EB0">
            <w:pPr>
              <w:spacing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F6773" w:rsidRPr="00954F03" w:rsidRDefault="000F6773" w:rsidP="00546EB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F03">
              <w:rPr>
                <w:rFonts w:ascii="Times New Roman" w:hAnsi="Times New Roman" w:cs="Times New Roman"/>
                <w:sz w:val="16"/>
                <w:szCs w:val="16"/>
              </w:rPr>
              <w:t>Общая информация об учреждении</w:t>
            </w:r>
          </w:p>
          <w:p w:rsidR="000F6773" w:rsidRPr="00954F03" w:rsidRDefault="000F6773" w:rsidP="00546EB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F6773" w:rsidRPr="00954F03" w:rsidRDefault="000F6773" w:rsidP="00546EB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F03">
              <w:rPr>
                <w:rFonts w:ascii="Times New Roman" w:hAnsi="Times New Roman" w:cs="Times New Roman"/>
                <w:sz w:val="16"/>
                <w:szCs w:val="16"/>
              </w:rPr>
              <w:t>Информация о государственном задании на текущий финансовый год</w:t>
            </w:r>
          </w:p>
          <w:p w:rsidR="000F6773" w:rsidRPr="00954F03" w:rsidRDefault="000F6773" w:rsidP="00546EB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F6773" w:rsidRPr="00954F03" w:rsidRDefault="000F6773" w:rsidP="00546EB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F03">
              <w:rPr>
                <w:rFonts w:ascii="Times New Roman" w:hAnsi="Times New Roman" w:cs="Times New Roman"/>
                <w:sz w:val="16"/>
                <w:szCs w:val="16"/>
              </w:rPr>
              <w:t>Информация о выполнении государственного задания за отчетный финансовый год</w:t>
            </w:r>
          </w:p>
          <w:p w:rsidR="000F6773" w:rsidRPr="00954F03" w:rsidRDefault="000F6773" w:rsidP="00546EB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6773" w:rsidRPr="00954F03" w:rsidRDefault="000F6773" w:rsidP="00546EB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F03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 плане финансово-хозяйственной деятельности на текущий год  </w:t>
            </w:r>
          </w:p>
          <w:p w:rsidR="000F6773" w:rsidRPr="00954F03" w:rsidRDefault="000F6773" w:rsidP="00546EB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F6773" w:rsidRPr="00954F03" w:rsidRDefault="000F6773" w:rsidP="00546EB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F03">
              <w:rPr>
                <w:rFonts w:ascii="Times New Roman" w:hAnsi="Times New Roman" w:cs="Times New Roman"/>
                <w:sz w:val="16"/>
                <w:szCs w:val="16"/>
              </w:rPr>
              <w:t>Информация о годовой бухгалтерской отчетности за отчетный финансовый год</w:t>
            </w:r>
          </w:p>
          <w:p w:rsidR="000F6773" w:rsidRPr="00954F03" w:rsidRDefault="000F6773" w:rsidP="00546EB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F6773" w:rsidRPr="00954F03" w:rsidRDefault="000F6773" w:rsidP="00546EB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F03">
              <w:rPr>
                <w:rFonts w:ascii="Times New Roman" w:hAnsi="Times New Roman" w:cs="Times New Roman"/>
                <w:sz w:val="16"/>
                <w:szCs w:val="16"/>
              </w:rPr>
              <w:t>Информация о результатах деятельности и об использовании имущества</w:t>
            </w:r>
          </w:p>
          <w:p w:rsidR="000F6773" w:rsidRPr="00954F03" w:rsidRDefault="000F6773" w:rsidP="00546EB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F6773" w:rsidRPr="00954F03" w:rsidRDefault="000F6773" w:rsidP="00546EB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F03">
              <w:rPr>
                <w:rFonts w:ascii="Times New Roman" w:hAnsi="Times New Roman" w:cs="Times New Roman"/>
                <w:sz w:val="16"/>
                <w:szCs w:val="16"/>
              </w:rPr>
              <w:t>Информация о контрольных мероприятиях и их результатах за отчетный финансовый год</w:t>
            </w:r>
          </w:p>
          <w:p w:rsidR="000F6773" w:rsidRPr="00954F03" w:rsidRDefault="000F6773" w:rsidP="00546EB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0F6773" w:rsidRPr="00954F03" w:rsidRDefault="000F6773" w:rsidP="00546E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F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</w:t>
            </w:r>
          </w:p>
          <w:p w:rsidR="000F6773" w:rsidRPr="00954F03" w:rsidRDefault="000F6773" w:rsidP="00546EB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F6773" w:rsidRPr="000F7E31" w:rsidTr="000F6773">
        <w:tc>
          <w:tcPr>
            <w:tcW w:w="1668" w:type="dxa"/>
          </w:tcPr>
          <w:p w:rsidR="000F6773" w:rsidRPr="00F93FAF" w:rsidRDefault="000F6773" w:rsidP="00546E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E3C">
              <w:rPr>
                <w:rFonts w:ascii="Arial Narrow" w:hAnsi="Arial Narrow" w:cs="Arial"/>
                <w:color w:val="000000"/>
                <w:sz w:val="24"/>
                <w:szCs w:val="24"/>
              </w:rPr>
              <w:t>Кабанскаямежпоселенческая</w:t>
            </w:r>
            <w:proofErr w:type="spellEnd"/>
            <w:r w:rsidRPr="000B7E3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850" w:type="dxa"/>
          </w:tcPr>
          <w:p w:rsidR="000F6773" w:rsidRPr="000F7E31" w:rsidRDefault="000F6773" w:rsidP="00546EB0">
            <w:p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0F7E31"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0F6773" w:rsidRPr="00A84E34" w:rsidRDefault="000F6773" w:rsidP="00546EB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6773" w:rsidRPr="00A84E34" w:rsidRDefault="000F6773" w:rsidP="00546EB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6773" w:rsidRPr="00A84E34" w:rsidRDefault="000F6773" w:rsidP="00546EB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F6773" w:rsidRPr="00A84E34" w:rsidRDefault="000F6773" w:rsidP="00546EB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6773" w:rsidRPr="00A84E34" w:rsidRDefault="000F6773" w:rsidP="00546EB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F6773" w:rsidRPr="00A84E34" w:rsidRDefault="000F6773" w:rsidP="00546EB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F6773" w:rsidRPr="00A84E34" w:rsidRDefault="000F6773" w:rsidP="00546EB0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C7AD6" w:rsidRDefault="004C7AD6"/>
    <w:p w:rsidR="000F6773" w:rsidRDefault="000F6773"/>
    <w:p w:rsidR="000F6773" w:rsidRDefault="000F6773"/>
    <w:p w:rsidR="000F6773" w:rsidRPr="00F93FAF" w:rsidRDefault="000F6773" w:rsidP="000F6773">
      <w:pPr>
        <w:jc w:val="right"/>
        <w:rPr>
          <w:rFonts w:ascii="Times New Roman" w:hAnsi="Times New Roman" w:cs="Times New Roman"/>
          <w:sz w:val="28"/>
          <w:szCs w:val="28"/>
        </w:rPr>
      </w:pPr>
      <w:r w:rsidRPr="00F93FAF">
        <w:rPr>
          <w:rFonts w:ascii="Times New Roman" w:hAnsi="Times New Roman" w:cs="Times New Roman"/>
          <w:sz w:val="28"/>
          <w:szCs w:val="28"/>
        </w:rPr>
        <w:t>Таблица №3</w:t>
      </w:r>
    </w:p>
    <w:p w:rsidR="000F6773" w:rsidRPr="00F93FAF" w:rsidRDefault="000F6773" w:rsidP="000F67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FAF">
        <w:rPr>
          <w:rFonts w:ascii="Times New Roman" w:hAnsi="Times New Roman" w:cs="Times New Roman"/>
          <w:b/>
          <w:sz w:val="28"/>
          <w:szCs w:val="28"/>
        </w:rPr>
        <w:t>Оценка уровня</w:t>
      </w:r>
    </w:p>
    <w:p w:rsidR="000F6773" w:rsidRDefault="000F6773" w:rsidP="000F67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FAF">
        <w:rPr>
          <w:rFonts w:ascii="Times New Roman" w:hAnsi="Times New Roman" w:cs="Times New Roman"/>
          <w:b/>
          <w:sz w:val="28"/>
          <w:szCs w:val="28"/>
        </w:rPr>
        <w:t xml:space="preserve"> открытости и доступности информации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библиотек Кабанского  района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3969"/>
        <w:gridCol w:w="1843"/>
        <w:gridCol w:w="2409"/>
      </w:tblGrid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требования/информационного объекта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значение, баллы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Кабанская межпоселенческая центральная библиотека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3561EA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1.</w:t>
              </w:r>
            </w:hyperlink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 организации культуры, сокращенное наименование организации культуры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3561EA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2.</w:t>
              </w:r>
            </w:hyperlink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адрес, схема размещения организации культуры, схема проезда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организации культуры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учредителе, учредительные документы организации культуры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информация об учреждении;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государственном задании на текущий финансовый год;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выполнении государственного задания за отчетный финансовый год;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плане финансово-хозяйственной деятельности на текущий год;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3561EA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10.</w:t>
              </w:r>
            </w:hyperlink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годовой бухгалтерской отчетности за отчетный финансовый год;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 результатах </w:t>
            </w: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деятельности и об использовании имущества;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контрольных мероприятиях и их результатах за отчетный финансовый год.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rPr>
          <w:trHeight w:val="417"/>
        </w:trPr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услуг, оказываемых организацией культуры.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Ограничения по ассортименту услуг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Ограничения по потребителям услуг.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услуги, оказываемые организацией культуры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Услуги, оказываемые на платной основе.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оказываемых услуг.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преимущественного права пользования услугами учреждения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Сохранение возможности навигации по сайту при отключении графических элементов оформления сайта, карта сайта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доступности информации с учетом перерывов в работе сайта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независимой системы учета посещений сайта.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Раскрытие </w:t>
            </w:r>
            <w:proofErr w:type="gramStart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независимой системы учета посещений сайта</w:t>
            </w:r>
            <w:proofErr w:type="gramEnd"/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встроенной системы контекстного поиска по сайту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Бесплатность, доступность информации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нарушений отображения, форматирования или иных дефектов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размещения </w:t>
            </w: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информации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 к разделу "Независимая оценка качества предоставления услуг" должен быть обеспечен не более чем за 2 перехода по сайту с использованием меню навигации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билет организации культуры/электронный каталог/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Он-лайн</w:t>
            </w:r>
            <w:proofErr w:type="spellEnd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регистрация/возможность бронирования билетов/электронных документов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Электронная очередь/электронная запись в учреждение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Виртуальные экскурсии по организации культуры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руководителе организации культуры, информация об официальных мероприятиях, визитах и о рабочих поездках руководителя организации культуры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работников, фамилии, имена, отчества, должности руководящего состава организации культуры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Режим, график работы организации культуры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справочной службы, телефон руководителя организации культуры (приемная)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для направления предложений по улучшению качества услуг организации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Онлайн-консультант</w:t>
            </w:r>
            <w:proofErr w:type="spellEnd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организации культуры (система мгновенных сообщений и интерактивного общения с представителем организации культуры)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Ссылка на раздел оценки качества </w:t>
            </w: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оказания услуг организации культуры (или </w:t>
            </w:r>
            <w:proofErr w:type="spellStart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виджет</w:t>
            </w:r>
            <w:proofErr w:type="spellEnd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сайте учреждения)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40.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Ссылка (баннер) на автоматизированную систему независимой </w:t>
            </w:r>
            <w:proofErr w:type="gramStart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оценки качества оказания услуг организаций культуры</w:t>
            </w:r>
            <w:proofErr w:type="gramEnd"/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сообщения о проведении независимой оценки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Порядок (методика) проведения независимой </w:t>
            </w:r>
            <w:proofErr w:type="gramStart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оценки качества услуг организации культуры</w:t>
            </w:r>
            <w:proofErr w:type="gramEnd"/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Результаты независимой </w:t>
            </w:r>
            <w:proofErr w:type="gramStart"/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оценки качества оказания услуг организации культуры</w:t>
            </w:r>
            <w:proofErr w:type="gramEnd"/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Предложения об улучшении качества их деятельности; план по улучшению качества работы организации культуры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:rsidR="000F6773" w:rsidRPr="003561EA" w:rsidRDefault="000F6773" w:rsidP="005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6773" w:rsidRPr="003561EA" w:rsidTr="00546EB0">
        <w:tc>
          <w:tcPr>
            <w:tcW w:w="91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3" w:type="dxa"/>
          </w:tcPr>
          <w:p w:rsidR="000F6773" w:rsidRPr="003561EA" w:rsidRDefault="000F6773" w:rsidP="00546E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61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 значение 40 балла</w:t>
            </w:r>
          </w:p>
        </w:tc>
        <w:tc>
          <w:tcPr>
            <w:tcW w:w="2409" w:type="dxa"/>
            <w:vAlign w:val="bottom"/>
          </w:tcPr>
          <w:p w:rsidR="000F6773" w:rsidRPr="003561EA" w:rsidRDefault="000F6773" w:rsidP="00546E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561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3561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0F6773" w:rsidRPr="003B54E0" w:rsidRDefault="000F6773" w:rsidP="00D42E3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6773" w:rsidRDefault="000F6773" w:rsidP="000F677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3F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независимой оценки каче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ства оказания услуг организациями   культуры, расположенными на территории Кабанского района Республики Бурятия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4"/>
        <w:gridCol w:w="2371"/>
        <w:gridCol w:w="2086"/>
        <w:gridCol w:w="1917"/>
        <w:gridCol w:w="1097"/>
      </w:tblGrid>
      <w:tr w:rsidR="000F6773" w:rsidRPr="00384006" w:rsidTr="00546EB0"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организации культуры</w:t>
            </w:r>
          </w:p>
        </w:tc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уровня удовлетворенности качеством оказываемых услуг, баллы</w:t>
            </w:r>
          </w:p>
        </w:tc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Оценка уровня открытости и доступности информации организации культуры на сайте </w:t>
            </w:r>
            <w:proofErr w:type="spellStart"/>
            <w:r w:rsidRPr="00384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www.bus.gov.ru</w:t>
            </w:r>
            <w:proofErr w:type="spellEnd"/>
          </w:p>
        </w:tc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уровня открытости и доступности информации на официальном сайте организации, баллы</w:t>
            </w:r>
          </w:p>
        </w:tc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оценка</w:t>
            </w:r>
          </w:p>
        </w:tc>
      </w:tr>
      <w:tr w:rsidR="000F6773" w:rsidRPr="00384006" w:rsidTr="00546EB0"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0F6773" w:rsidRPr="00384006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006">
              <w:rPr>
                <w:rFonts w:ascii="Times New Roman" w:eastAsia="Times New Roman" w:hAnsi="Times New Roman" w:cs="Times New Roman"/>
                <w:sz w:val="24"/>
                <w:szCs w:val="24"/>
              </w:rPr>
              <w:t>5=2+3+4</w:t>
            </w:r>
          </w:p>
        </w:tc>
      </w:tr>
      <w:tr w:rsidR="000F6773" w:rsidRPr="00384006" w:rsidTr="00546EB0">
        <w:tc>
          <w:tcPr>
            <w:tcW w:w="0" w:type="auto"/>
            <w:hideMark/>
          </w:tcPr>
          <w:p w:rsidR="000F6773" w:rsidRPr="00F93FAF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C">
              <w:rPr>
                <w:rFonts w:ascii="Arial Narrow" w:hAnsi="Arial Narrow" w:cs="Arial"/>
                <w:color w:val="000000"/>
                <w:sz w:val="24"/>
                <w:szCs w:val="24"/>
              </w:rPr>
              <w:t>Кабанская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0B7E3C">
              <w:rPr>
                <w:rFonts w:ascii="Arial Narrow" w:hAnsi="Arial Narrow" w:cs="Arial"/>
                <w:color w:val="000000"/>
                <w:sz w:val="24"/>
                <w:szCs w:val="24"/>
              </w:rPr>
              <w:t>межпоселенческая центральная библиотека</w:t>
            </w:r>
          </w:p>
        </w:tc>
        <w:tc>
          <w:tcPr>
            <w:tcW w:w="0" w:type="auto"/>
            <w:hideMark/>
          </w:tcPr>
          <w:p w:rsidR="000F6773" w:rsidRPr="000F6773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44,44</w:t>
            </w:r>
          </w:p>
        </w:tc>
        <w:tc>
          <w:tcPr>
            <w:tcW w:w="0" w:type="auto"/>
            <w:hideMark/>
          </w:tcPr>
          <w:p w:rsidR="000F6773" w:rsidRPr="000F6773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0F6773" w:rsidRPr="000F6773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0F6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F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hideMark/>
          </w:tcPr>
          <w:p w:rsidR="000F6773" w:rsidRPr="000F6773" w:rsidRDefault="000F6773" w:rsidP="00546E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0F6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F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,44</w:t>
            </w:r>
          </w:p>
        </w:tc>
      </w:tr>
    </w:tbl>
    <w:p w:rsidR="000F6773" w:rsidRDefault="000F6773" w:rsidP="00D42E36">
      <w:pPr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5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ходе проведения исследования определен уровень качества предоставления услуг </w:t>
      </w:r>
      <w:r>
        <w:rPr>
          <w:rFonts w:ascii="Times New Roman" w:eastAsia="Calibri" w:hAnsi="Times New Roman" w:cs="Times New Roman"/>
          <w:sz w:val="28"/>
          <w:szCs w:val="28"/>
        </w:rPr>
        <w:t>МАУ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Кабанская </w:t>
      </w:r>
      <w:r w:rsidRPr="008B25A3">
        <w:rPr>
          <w:rFonts w:ascii="Times New Roman" w:hAnsi="Times New Roman" w:cs="Times New Roman"/>
          <w:color w:val="000000"/>
          <w:sz w:val="28"/>
          <w:szCs w:val="28"/>
        </w:rPr>
        <w:t>межпоселенческ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8B25A3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8B25A3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а». </w:t>
      </w:r>
      <w:r w:rsidRPr="008B25A3">
        <w:rPr>
          <w:rFonts w:ascii="Times New Roman" w:eastAsia="Calibri" w:hAnsi="Times New Roman" w:cs="Times New Roman"/>
          <w:sz w:val="28"/>
          <w:szCs w:val="28"/>
        </w:rPr>
        <w:t xml:space="preserve">В ходе исследования был проведен анализ нормативной документации общероссийского и регионального  уровней. Региональные нормативные акты не противоречат основному Закону Российской Федерации касательно независимой оценки качества предоставления услуг организациями социальной сферы. В основу исследования положены разработки и методические рекомендации, регламентированные Министерством культуры Российской Федерации. </w:t>
      </w:r>
    </w:p>
    <w:p w:rsidR="000F6773" w:rsidRPr="008B25A3" w:rsidRDefault="000F6773" w:rsidP="000F6773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5A3">
        <w:rPr>
          <w:rFonts w:ascii="Times New Roman" w:eastAsia="Calibri" w:hAnsi="Times New Roman" w:cs="Times New Roman"/>
          <w:sz w:val="28"/>
          <w:szCs w:val="28"/>
        </w:rPr>
        <w:t>В процессе исследования изучены открытые данные, проведен опрос пользователей  услуг библиотеки.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 w:rsidR="000F6773" w:rsidRPr="008B25A3" w:rsidRDefault="000F6773" w:rsidP="000F6773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5A3">
        <w:rPr>
          <w:rFonts w:ascii="Times New Roman" w:eastAsia="Calibri" w:hAnsi="Times New Roman" w:cs="Times New Roman"/>
          <w:sz w:val="28"/>
          <w:szCs w:val="28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обществом признается качественная работа </w:t>
      </w:r>
      <w:r>
        <w:rPr>
          <w:rFonts w:ascii="Times New Roman" w:eastAsia="Calibri" w:hAnsi="Times New Roman" w:cs="Times New Roman"/>
          <w:sz w:val="28"/>
          <w:szCs w:val="28"/>
        </w:rPr>
        <w:t>МАУ «</w:t>
      </w:r>
      <w:r>
        <w:rPr>
          <w:rFonts w:ascii="Times New Roman" w:hAnsi="Times New Roman" w:cs="Times New Roman"/>
          <w:color w:val="000000"/>
          <w:sz w:val="28"/>
          <w:szCs w:val="28"/>
        </w:rPr>
        <w:t>Кабанская межпоселенческая центральная»</w:t>
      </w:r>
      <w:r w:rsidR="001D59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6773" w:rsidRDefault="000F6773" w:rsidP="000F6773">
      <w:pPr>
        <w:jc w:val="center"/>
      </w:pPr>
    </w:p>
    <w:sectPr w:rsidR="000F6773" w:rsidSect="004C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D603C"/>
    <w:multiLevelType w:val="multilevel"/>
    <w:tmpl w:val="7632D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D25"/>
    <w:rsid w:val="00015BA2"/>
    <w:rsid w:val="00092D25"/>
    <w:rsid w:val="000F6773"/>
    <w:rsid w:val="001D5949"/>
    <w:rsid w:val="004C7AD6"/>
    <w:rsid w:val="009106AA"/>
    <w:rsid w:val="00AC590D"/>
    <w:rsid w:val="00D4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D25"/>
    <w:pPr>
      <w:ind w:left="720"/>
      <w:contextualSpacing/>
    </w:pPr>
  </w:style>
  <w:style w:type="paragraph" w:customStyle="1" w:styleId="ConsPlusNormal">
    <w:name w:val="ConsPlusNormal"/>
    <w:uiPriority w:val="99"/>
    <w:rsid w:val="000F6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F6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CF1531DC3B280624881068A23791CB4225FF56C59966A6E769765714767F4D6B2631140FEA4E9z5X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70CF1531DC3B280624881068A23791CB4225FF56C59966A6E769765714767F4D6B2631140FEA4EBz5X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0CF1531DC3B280624881068A23791CB4225FF56C59966A6E769765714767F4D6B2631140FEA4EBz5X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656F-EEF7-41CE-B753-E0E275F9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2016-12-12T02:21:00Z</dcterms:created>
  <dcterms:modified xsi:type="dcterms:W3CDTF">2016-12-12T03:48:00Z</dcterms:modified>
</cp:coreProperties>
</file>