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CB" w:rsidRDefault="00BF7DCB" w:rsidP="009B07FA">
      <w:pPr>
        <w:pStyle w:val="aa"/>
        <w:jc w:val="both"/>
        <w:rPr>
          <w:b/>
          <w:bCs/>
          <w:sz w:val="28"/>
          <w:szCs w:val="28"/>
        </w:rPr>
      </w:pPr>
    </w:p>
    <w:p w:rsidR="00BF7DCB" w:rsidRDefault="00B56919" w:rsidP="00C8669A">
      <w:pPr>
        <w:pStyle w:val="aa"/>
        <w:rPr>
          <w:b/>
          <w:bCs/>
          <w:sz w:val="28"/>
          <w:szCs w:val="28"/>
        </w:rPr>
      </w:pPr>
      <w:r>
        <w:rPr>
          <w:noProof/>
        </w:rPr>
        <w:pict>
          <v:group id="_x0000_s1026" style="position:absolute;left:0;text-align:left;margin-left:207pt;margin-top:0;width:54pt;height:70.3pt;z-index:251658240" coordorigin="3744,5040" coordsize="720,72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7" type="#_x0000_t88" style="position:absolute;left:4032;top:5328;width:144;height:720;rotation:90"/>
            <v:line id="_x0000_s1028" style="position:absolute" from="3744,5040" to="3744,5616"/>
            <v:line id="_x0000_s1029" style="position:absolute" from="4464,5040" to="4464,5616"/>
            <v:line id="_x0000_s1030" style="position:absolute" from="3744,5040" to="4464,5040"/>
          </v:group>
        </w:pict>
      </w:r>
      <w:r w:rsidR="00BF7DCB" w:rsidRPr="001A1825">
        <w:rPr>
          <w:b/>
          <w:bCs/>
          <w:sz w:val="28"/>
          <w:szCs w:val="28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8" o:title="" gain="74473f"/>
          </v:shape>
          <o:OLEObject Type="Embed" ProgID="Word.Picture.8" ShapeID="_x0000_i1025" DrawAspect="Content" ObjectID="_1508328107" r:id="rId9"/>
        </w:object>
      </w:r>
    </w:p>
    <w:p w:rsidR="00BF7DCB" w:rsidRDefault="00BF7DCB" w:rsidP="00C8669A">
      <w:pPr>
        <w:pStyle w:val="aa"/>
        <w:rPr>
          <w:b/>
          <w:bCs/>
          <w:sz w:val="28"/>
          <w:szCs w:val="28"/>
        </w:rPr>
      </w:pPr>
    </w:p>
    <w:p w:rsidR="00BF7DCB" w:rsidRPr="0053372F" w:rsidRDefault="00BF7DCB" w:rsidP="00C8669A">
      <w:pPr>
        <w:pStyle w:val="aa"/>
        <w:rPr>
          <w:rFonts w:ascii="Bookman Old Style" w:hAnsi="Bookman Old Style" w:cs="Bookman Old Style"/>
          <w:b/>
          <w:bCs/>
          <w:spacing w:val="0"/>
          <w:sz w:val="28"/>
          <w:szCs w:val="28"/>
        </w:rPr>
      </w:pPr>
      <w:r w:rsidRPr="006D4071">
        <w:rPr>
          <w:rFonts w:ascii="Bookman Old Style" w:hAnsi="Bookman Old Style" w:cs="Bookman Old Style"/>
          <w:b/>
          <w:bCs/>
          <w:spacing w:val="0"/>
          <w:sz w:val="28"/>
          <w:szCs w:val="28"/>
        </w:rPr>
        <w:t xml:space="preserve">АДМИНИСТРАЦИЯ </w:t>
      </w:r>
      <w:r>
        <w:rPr>
          <w:rFonts w:ascii="Bookman Old Style" w:hAnsi="Bookman Old Style" w:cs="Bookman Old Style"/>
          <w:b/>
          <w:bCs/>
          <w:spacing w:val="0"/>
          <w:sz w:val="28"/>
          <w:szCs w:val="28"/>
        </w:rPr>
        <w:t xml:space="preserve">МУНИЦИПАЛЬНОГО ОБРАЗОВАНИЯ </w:t>
      </w:r>
      <w:r w:rsidRPr="006D4071">
        <w:rPr>
          <w:rFonts w:ascii="Bookman Old Style" w:hAnsi="Bookman Old Style" w:cs="Bookman Old Style"/>
          <w:b/>
          <w:bCs/>
          <w:spacing w:val="70"/>
          <w:sz w:val="28"/>
          <w:szCs w:val="28"/>
        </w:rPr>
        <w:t>«КАБАНСКИЙ РАЙОН»</w:t>
      </w:r>
    </w:p>
    <w:p w:rsidR="00BF7DCB" w:rsidRPr="006D4071" w:rsidRDefault="00BF7DCB" w:rsidP="00C8669A">
      <w:pPr>
        <w:pStyle w:val="aa"/>
        <w:rPr>
          <w:rFonts w:ascii="Bookman Old Style" w:hAnsi="Bookman Old Style" w:cs="Bookman Old Style"/>
          <w:b/>
          <w:bCs/>
          <w:spacing w:val="0"/>
          <w:sz w:val="28"/>
          <w:szCs w:val="28"/>
        </w:rPr>
      </w:pPr>
      <w:r w:rsidRPr="006D4071">
        <w:rPr>
          <w:rFonts w:ascii="Bookman Old Style" w:hAnsi="Bookman Old Style" w:cs="Bookman Old Style"/>
          <w:b/>
          <w:bCs/>
          <w:spacing w:val="0"/>
          <w:sz w:val="28"/>
          <w:szCs w:val="28"/>
        </w:rPr>
        <w:t>РЕСПУБЛИКИ БУРЯТИЯ</w:t>
      </w:r>
    </w:p>
    <w:p w:rsidR="00BF7DCB" w:rsidRPr="0053372F" w:rsidRDefault="00BF7DCB" w:rsidP="00C8669A">
      <w:pPr>
        <w:pStyle w:val="aa"/>
        <w:jc w:val="both"/>
        <w:rPr>
          <w:rFonts w:ascii="Bookman Old Style" w:hAnsi="Bookman Old Style" w:cs="Bookman Old Style"/>
          <w:spacing w:val="0"/>
          <w:sz w:val="28"/>
          <w:szCs w:val="28"/>
        </w:rPr>
      </w:pPr>
    </w:p>
    <w:p w:rsidR="00BF7DCB" w:rsidRDefault="00BF7DCB" w:rsidP="00C8669A">
      <w:pPr>
        <w:jc w:val="center"/>
        <w:rPr>
          <w:rFonts w:ascii="Bookman Old Style" w:hAnsi="Bookman Old Style" w:cs="Bookman Old Style"/>
          <w:b/>
          <w:bCs/>
          <w:kern w:val="28"/>
          <w:sz w:val="36"/>
          <w:szCs w:val="36"/>
        </w:rPr>
      </w:pPr>
      <w:r>
        <w:rPr>
          <w:rFonts w:ascii="Bookman Old Style" w:hAnsi="Bookman Old Style" w:cs="Bookman Old Style"/>
          <w:b/>
          <w:bCs/>
          <w:kern w:val="28"/>
          <w:sz w:val="36"/>
          <w:szCs w:val="36"/>
        </w:rPr>
        <w:t>ПОСТАНОВЛЕНИЕ</w:t>
      </w:r>
    </w:p>
    <w:p w:rsidR="00BF7DCB" w:rsidRDefault="00BF7DCB" w:rsidP="00C8669A">
      <w:pPr>
        <w:pStyle w:val="ac"/>
        <w:rPr>
          <w:rFonts w:ascii="Bookman Old Style" w:hAnsi="Bookman Old Style" w:cs="Bookman Old Style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F7DCB">
        <w:trPr>
          <w:trHeight w:val="29"/>
        </w:trPr>
        <w:tc>
          <w:tcPr>
            <w:tcW w:w="9900" w:type="dxa"/>
            <w:tcBorders>
              <w:left w:val="nil"/>
              <w:bottom w:val="nil"/>
              <w:right w:val="nil"/>
            </w:tcBorders>
          </w:tcPr>
          <w:p w:rsidR="00BF7DCB" w:rsidRDefault="00BF7DCB" w:rsidP="00F264C8">
            <w:pPr>
              <w:pStyle w:val="ac"/>
              <w:rPr>
                <w:b/>
                <w:bCs/>
                <w:sz w:val="24"/>
                <w:szCs w:val="24"/>
              </w:rPr>
            </w:pPr>
          </w:p>
        </w:tc>
      </w:tr>
    </w:tbl>
    <w:p w:rsidR="00BF7DCB" w:rsidRDefault="00BF7DCB" w:rsidP="00C8669A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«  </w:t>
      </w:r>
      <w:r w:rsidR="00B56919">
        <w:rPr>
          <w:sz w:val="24"/>
          <w:szCs w:val="24"/>
        </w:rPr>
        <w:t>06</w:t>
      </w:r>
      <w:r>
        <w:rPr>
          <w:sz w:val="24"/>
          <w:szCs w:val="24"/>
        </w:rPr>
        <w:t xml:space="preserve">    »    </w:t>
      </w:r>
      <w:r w:rsidR="00B56919">
        <w:rPr>
          <w:sz w:val="24"/>
          <w:szCs w:val="24"/>
        </w:rPr>
        <w:t>11</w:t>
      </w:r>
      <w:r>
        <w:rPr>
          <w:sz w:val="24"/>
          <w:szCs w:val="24"/>
        </w:rPr>
        <w:t xml:space="preserve">         2015 г. № </w:t>
      </w:r>
      <w:r w:rsidR="00B56919">
        <w:rPr>
          <w:sz w:val="24"/>
          <w:szCs w:val="24"/>
        </w:rPr>
        <w:t>1807</w:t>
      </w:r>
    </w:p>
    <w:p w:rsidR="00BF7DCB" w:rsidRDefault="00BF7DCB" w:rsidP="00CA7B4D">
      <w:pPr>
        <w:ind w:firstLine="0"/>
        <w:jc w:val="center"/>
      </w:pPr>
    </w:p>
    <w:p w:rsidR="00BF7DCB" w:rsidRPr="00CA1AB2" w:rsidRDefault="00BF7DCB" w:rsidP="00CA7B4D">
      <w:pPr>
        <w:ind w:firstLine="0"/>
        <w:jc w:val="center"/>
        <w:rPr>
          <w:b/>
          <w:bCs/>
        </w:rPr>
      </w:pPr>
      <w:r w:rsidRPr="00CA1AB2">
        <w:rPr>
          <w:b/>
          <w:bCs/>
        </w:rPr>
        <w:t>село Кабанск</w:t>
      </w:r>
    </w:p>
    <w:p w:rsidR="00BF7DCB" w:rsidRDefault="00BF7DCB" w:rsidP="00CA7B4D">
      <w:pPr>
        <w:ind w:firstLine="0"/>
        <w:jc w:val="center"/>
      </w:pPr>
    </w:p>
    <w:p w:rsidR="00BF7DCB" w:rsidRPr="002E34DD" w:rsidRDefault="00BF7DCB" w:rsidP="009B07FA">
      <w:pPr>
        <w:ind w:firstLine="0"/>
      </w:pPr>
      <w:r>
        <w:t>Об утверждении муниципальной</w:t>
      </w:r>
    </w:p>
    <w:p w:rsidR="00BF7DCB" w:rsidRDefault="00BF7DCB" w:rsidP="00276528">
      <w:pPr>
        <w:ind w:firstLine="0"/>
      </w:pPr>
      <w:r w:rsidRPr="002E34DD">
        <w:t xml:space="preserve">программы  </w:t>
      </w:r>
      <w:r>
        <w:t>"Развитие имущественных</w:t>
      </w:r>
    </w:p>
    <w:p w:rsidR="00BF7DCB" w:rsidRDefault="00BF7DCB" w:rsidP="00276528">
      <w:pPr>
        <w:ind w:firstLine="0"/>
      </w:pPr>
      <w:r>
        <w:t xml:space="preserve">и земельных отношений" муниципального </w:t>
      </w:r>
    </w:p>
    <w:p w:rsidR="00BF7DCB" w:rsidRPr="00112854" w:rsidRDefault="00BF7DCB" w:rsidP="00276528">
      <w:pPr>
        <w:ind w:firstLine="0"/>
      </w:pPr>
      <w:r>
        <w:t>образования «Кабанский район»</w:t>
      </w:r>
    </w:p>
    <w:p w:rsidR="00BF7DCB" w:rsidRPr="00112854" w:rsidRDefault="00BF7DCB" w:rsidP="00276528">
      <w:pPr>
        <w:ind w:firstLine="0"/>
      </w:pPr>
      <w:r>
        <w:t>на 2015-2017 годы</w:t>
      </w:r>
    </w:p>
    <w:p w:rsidR="00BF7DCB" w:rsidRDefault="00BF7DCB" w:rsidP="009B07FA">
      <w:pPr>
        <w:ind w:firstLine="0"/>
        <w:rPr>
          <w:color w:val="382922"/>
        </w:rPr>
      </w:pPr>
    </w:p>
    <w:p w:rsidR="00BF7DCB" w:rsidRDefault="00BF7DCB" w:rsidP="00316D2D">
      <w:pPr>
        <w:ind w:firstLine="720"/>
        <w:rPr>
          <w:color w:val="382922"/>
        </w:rPr>
      </w:pPr>
    </w:p>
    <w:p w:rsidR="00BF7DCB" w:rsidRDefault="00BF7DCB" w:rsidP="00316D2D">
      <w:pPr>
        <w:ind w:firstLine="720"/>
        <w:rPr>
          <w:highlight w:val="green"/>
        </w:rPr>
      </w:pPr>
    </w:p>
    <w:p w:rsidR="00BF7DCB" w:rsidRPr="00112854" w:rsidRDefault="00BF7DCB" w:rsidP="00112854">
      <w:pPr>
        <w:autoSpaceDE w:val="0"/>
        <w:autoSpaceDN w:val="0"/>
        <w:adjustRightInd w:val="0"/>
        <w:ind w:firstLine="720"/>
      </w:pPr>
      <w:r w:rsidRPr="00112854">
        <w:t>В целях перехода на программно-целевое планирование расходов бюджета</w:t>
      </w:r>
      <w:r>
        <w:t xml:space="preserve"> МО «Кабанский район»</w:t>
      </w:r>
      <w:r w:rsidRPr="00112854">
        <w:t xml:space="preserve">, в соответствии с </w:t>
      </w:r>
      <w:r>
        <w:t xml:space="preserve">Постановлением </w:t>
      </w:r>
      <w:r w:rsidRPr="0050693D">
        <w:t>Администрации МО «Кабанский район» от 27.01.2015г. № 239 «Об</w:t>
      </w:r>
      <w:r w:rsidRPr="00112854">
        <w:t xml:space="preserve"> утверждении Порядка разработки, реализации и оценки эффективности </w:t>
      </w:r>
      <w:r>
        <w:t>муниципальных программ»</w:t>
      </w:r>
      <w:r w:rsidRPr="00112854">
        <w:t>:</w:t>
      </w:r>
    </w:p>
    <w:p w:rsidR="00BF7DCB" w:rsidRPr="002E34DD" w:rsidRDefault="00BF7DCB" w:rsidP="00316D2D">
      <w:pPr>
        <w:ind w:firstLine="720"/>
      </w:pPr>
      <w:r w:rsidRPr="002E34DD">
        <w:t>ПОСТА</w:t>
      </w:r>
      <w:r>
        <w:t>НОВЛЯЮ:</w:t>
      </w:r>
    </w:p>
    <w:p w:rsidR="00BF7DCB" w:rsidRPr="00112854" w:rsidRDefault="00BF7DCB" w:rsidP="00276528">
      <w:pPr>
        <w:ind w:firstLine="0"/>
        <w:jc w:val="center"/>
      </w:pPr>
      <w:r>
        <w:t xml:space="preserve">     </w:t>
      </w:r>
      <w:r w:rsidRPr="00E0135F">
        <w:t xml:space="preserve">1. Утвердить муниципальную программу </w:t>
      </w:r>
      <w:r>
        <w:t>"Развитие имущественных и земельных отношений" муниципального образования «Кабанский район»</w:t>
      </w:r>
    </w:p>
    <w:p w:rsidR="00BF7DCB" w:rsidRPr="00E0135F" w:rsidRDefault="00BF7DCB" w:rsidP="00276528">
      <w:pPr>
        <w:ind w:firstLine="0"/>
      </w:pPr>
      <w:r>
        <w:t xml:space="preserve"> на 2015-2017 годы</w:t>
      </w:r>
      <w:r w:rsidRPr="00E0135F">
        <w:rPr>
          <w:color w:val="382922"/>
        </w:rPr>
        <w:t xml:space="preserve"> </w:t>
      </w:r>
      <w:r w:rsidRPr="00E0135F">
        <w:t>согласно приложению</w:t>
      </w:r>
      <w:r>
        <w:t xml:space="preserve"> к данному постановлению</w:t>
      </w:r>
      <w:r w:rsidRPr="00E0135F">
        <w:t>.</w:t>
      </w:r>
    </w:p>
    <w:p w:rsidR="00BF7DCB" w:rsidRPr="00E0135F" w:rsidRDefault="00BF7DCB" w:rsidP="00316D2D">
      <w:pPr>
        <w:pStyle w:val="af"/>
        <w:spacing w:before="0" w:after="0"/>
        <w:ind w:firstLine="720"/>
        <w:jc w:val="both"/>
        <w:rPr>
          <w:sz w:val="28"/>
          <w:szCs w:val="28"/>
        </w:rPr>
      </w:pPr>
      <w:r w:rsidRPr="00E0135F">
        <w:rPr>
          <w:sz w:val="28"/>
          <w:szCs w:val="28"/>
        </w:rPr>
        <w:t xml:space="preserve">2. Настоящее Постановление вступает в силу с момента </w:t>
      </w:r>
      <w:r>
        <w:rPr>
          <w:sz w:val="28"/>
          <w:szCs w:val="28"/>
        </w:rPr>
        <w:t xml:space="preserve">его официального </w:t>
      </w:r>
      <w:r w:rsidRPr="00E0135F">
        <w:rPr>
          <w:sz w:val="28"/>
          <w:szCs w:val="28"/>
        </w:rPr>
        <w:t>опубликования.</w:t>
      </w:r>
    </w:p>
    <w:p w:rsidR="00BF7DCB" w:rsidRDefault="00BF7DCB" w:rsidP="00316D2D">
      <w:pPr>
        <w:ind w:firstLine="720"/>
        <w:rPr>
          <w:color w:val="382922"/>
        </w:rPr>
      </w:pPr>
      <w:r w:rsidRPr="00E0135F">
        <w:t>3. Контроль за исполнением настоящего постановления возложить на и.о. заместителя Руководителя  Администрации МО «Кабанский район» по экономике и финансам (Е.С. Мухина).</w:t>
      </w:r>
    </w:p>
    <w:p w:rsidR="00BF7DCB" w:rsidRPr="002E34DD" w:rsidRDefault="00BF7DCB" w:rsidP="00316D2D">
      <w:pPr>
        <w:pStyle w:val="af"/>
        <w:spacing w:before="0" w:after="0"/>
        <w:ind w:firstLine="720"/>
        <w:jc w:val="both"/>
        <w:rPr>
          <w:color w:val="382922"/>
          <w:sz w:val="28"/>
          <w:szCs w:val="28"/>
        </w:rPr>
      </w:pPr>
    </w:p>
    <w:p w:rsidR="00BF7DCB" w:rsidRPr="00414F53" w:rsidRDefault="00BF7DCB" w:rsidP="00276528">
      <w:pPr>
        <w:ind w:firstLine="0"/>
        <w:rPr>
          <w:color w:val="382922"/>
        </w:rPr>
      </w:pPr>
    </w:p>
    <w:p w:rsidR="00BF7DCB" w:rsidRPr="00E0135F" w:rsidRDefault="00BF7DCB" w:rsidP="009B07FA">
      <w:pPr>
        <w:ind w:firstLine="0"/>
      </w:pPr>
      <w:r>
        <w:t>И.о. Руководителя</w:t>
      </w:r>
      <w:r w:rsidRPr="00E0135F">
        <w:t xml:space="preserve"> Администрации </w:t>
      </w:r>
      <w:r>
        <w:t xml:space="preserve">                                                      А.А. Жилин</w:t>
      </w:r>
    </w:p>
    <w:p w:rsidR="00BF7DCB" w:rsidRPr="00276528" w:rsidRDefault="00BF7DCB" w:rsidP="00B32263">
      <w:pPr>
        <w:ind w:firstLine="0"/>
      </w:pPr>
      <w:r w:rsidRPr="00E0135F">
        <w:t xml:space="preserve">МО «Кабанский район»                                             </w:t>
      </w:r>
      <w:r>
        <w:t xml:space="preserve">                  </w:t>
      </w:r>
    </w:p>
    <w:p w:rsidR="00BF7DCB" w:rsidRDefault="00BF7DCB" w:rsidP="00B32263">
      <w:pPr>
        <w:ind w:firstLine="0"/>
      </w:pPr>
      <w:r>
        <w:rPr>
          <w:kern w:val="28"/>
          <w:sz w:val="22"/>
          <w:szCs w:val="22"/>
        </w:rPr>
        <w:t>___________________________________________________</w:t>
      </w:r>
    </w:p>
    <w:p w:rsidR="00BF7DCB" w:rsidRDefault="00BF7DCB" w:rsidP="00B32263">
      <w:pPr>
        <w:ind w:firstLine="0"/>
        <w:rPr>
          <w:kern w:val="28"/>
          <w:sz w:val="22"/>
          <w:szCs w:val="22"/>
        </w:rPr>
      </w:pPr>
      <w:r w:rsidRPr="00AB2AE0">
        <w:rPr>
          <w:kern w:val="28"/>
          <w:sz w:val="22"/>
          <w:szCs w:val="22"/>
        </w:rPr>
        <w:t>Проект п</w:t>
      </w:r>
      <w:r>
        <w:rPr>
          <w:kern w:val="28"/>
          <w:sz w:val="22"/>
          <w:szCs w:val="22"/>
        </w:rPr>
        <w:t>остановления представлен МКУ «УГИиЗО»</w:t>
      </w:r>
    </w:p>
    <w:p w:rsidR="00BF7DCB" w:rsidRDefault="00BF7DCB" w:rsidP="00B32263">
      <w:pPr>
        <w:ind w:firstLine="0"/>
        <w:rPr>
          <w:kern w:val="28"/>
          <w:sz w:val="22"/>
          <w:szCs w:val="22"/>
        </w:rPr>
      </w:pPr>
    </w:p>
    <w:p w:rsidR="00BF7DCB" w:rsidRDefault="00BF7DCB" w:rsidP="00D34716">
      <w:pPr>
        <w:ind w:firstLine="0"/>
        <w:jc w:val="right"/>
        <w:rPr>
          <w:kern w:val="28"/>
        </w:rPr>
      </w:pPr>
      <w:r w:rsidRPr="00D34716">
        <w:rPr>
          <w:kern w:val="28"/>
        </w:rPr>
        <w:lastRenderedPageBreak/>
        <w:t xml:space="preserve">Приложение </w:t>
      </w:r>
    </w:p>
    <w:p w:rsidR="00BF7DCB" w:rsidRPr="00D34716" w:rsidRDefault="00BF7DCB" w:rsidP="00D34716">
      <w:pPr>
        <w:ind w:firstLine="0"/>
        <w:jc w:val="right"/>
        <w:rPr>
          <w:kern w:val="28"/>
        </w:rPr>
      </w:pPr>
      <w:r w:rsidRPr="00D34716">
        <w:rPr>
          <w:kern w:val="28"/>
        </w:rPr>
        <w:t>к Постановлению Администрации</w:t>
      </w:r>
    </w:p>
    <w:p w:rsidR="00BF7DCB" w:rsidRPr="00D34716" w:rsidRDefault="00BF7DCB" w:rsidP="00D34716">
      <w:pPr>
        <w:ind w:firstLine="0"/>
        <w:jc w:val="right"/>
        <w:rPr>
          <w:kern w:val="28"/>
        </w:rPr>
      </w:pPr>
      <w:r w:rsidRPr="00D34716">
        <w:rPr>
          <w:kern w:val="28"/>
        </w:rPr>
        <w:t>МО «Кабанский район»</w:t>
      </w:r>
    </w:p>
    <w:p w:rsidR="00BF7DCB" w:rsidRPr="00D34716" w:rsidRDefault="00BF7DCB" w:rsidP="00D34716">
      <w:pPr>
        <w:ind w:firstLine="0"/>
        <w:jc w:val="right"/>
        <w:rPr>
          <w:kern w:val="28"/>
        </w:rPr>
      </w:pPr>
      <w:r w:rsidRPr="00D34716">
        <w:rPr>
          <w:kern w:val="28"/>
        </w:rPr>
        <w:t>№ __</w:t>
      </w:r>
      <w:r w:rsidR="00B56919">
        <w:rPr>
          <w:kern w:val="28"/>
        </w:rPr>
        <w:t>1807</w:t>
      </w:r>
      <w:r w:rsidRPr="00D34716">
        <w:rPr>
          <w:kern w:val="28"/>
        </w:rPr>
        <w:t>_ от _</w:t>
      </w:r>
      <w:r w:rsidR="00B56919">
        <w:rPr>
          <w:kern w:val="28"/>
        </w:rPr>
        <w:t xml:space="preserve">06.11.2015 г. </w:t>
      </w:r>
      <w:bookmarkStart w:id="0" w:name="_GoBack"/>
      <w:bookmarkEnd w:id="0"/>
    </w:p>
    <w:p w:rsidR="00BF7DCB" w:rsidRPr="00D34716" w:rsidRDefault="00BF7DCB" w:rsidP="00D34716">
      <w:pPr>
        <w:ind w:firstLine="0"/>
        <w:jc w:val="right"/>
        <w:rPr>
          <w:kern w:val="28"/>
        </w:rPr>
      </w:pPr>
    </w:p>
    <w:p w:rsidR="00BF7DCB" w:rsidRPr="00D34716" w:rsidRDefault="00BF7DCB" w:rsidP="00514F00">
      <w:r w:rsidRPr="00D34716">
        <w:rPr>
          <w:kern w:val="28"/>
        </w:rPr>
        <w:t xml:space="preserve"> </w:t>
      </w:r>
    </w:p>
    <w:p w:rsidR="00BF7DCB" w:rsidRPr="00BD68C1" w:rsidRDefault="00BF7DCB" w:rsidP="00514F00"/>
    <w:p w:rsidR="00BF7DCB" w:rsidRDefault="00BF7DCB" w:rsidP="00514F00">
      <w:pPr>
        <w:ind w:firstLine="0"/>
        <w:jc w:val="center"/>
      </w:pPr>
      <w:r>
        <w:t>Муниципальная программа</w:t>
      </w:r>
    </w:p>
    <w:p w:rsidR="00BF7DCB" w:rsidRPr="00112854" w:rsidRDefault="00BF7DCB" w:rsidP="00514F00">
      <w:pPr>
        <w:ind w:firstLine="0"/>
        <w:jc w:val="center"/>
      </w:pPr>
      <w:r>
        <w:t>"Развитие имущественных и земельных отношений" муниципального образования «Кабанский район»</w:t>
      </w:r>
    </w:p>
    <w:p w:rsidR="00BF7DCB" w:rsidRPr="00112854" w:rsidRDefault="00BF7DCB" w:rsidP="00FD52A3">
      <w:pPr>
        <w:ind w:firstLine="0"/>
        <w:jc w:val="center"/>
      </w:pPr>
      <w:r>
        <w:t>на 2015-2017 годы</w:t>
      </w:r>
    </w:p>
    <w:p w:rsidR="00BF7DCB" w:rsidRPr="00112854" w:rsidRDefault="00BF7DCB" w:rsidP="00514F00"/>
    <w:p w:rsidR="00BF7DCB" w:rsidRDefault="00BF7DCB" w:rsidP="0050693D">
      <w:pPr>
        <w:jc w:val="center"/>
      </w:pPr>
      <w:r>
        <w:t>Паспорт муниципальной программы</w:t>
      </w:r>
    </w:p>
    <w:p w:rsidR="00BF7DCB" w:rsidRPr="00112854" w:rsidRDefault="00BF7DCB" w:rsidP="00514F00"/>
    <w:tbl>
      <w:tblPr>
        <w:tblW w:w="954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210"/>
        <w:gridCol w:w="4062"/>
      </w:tblGrid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Наименование Программы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3B1090" w:rsidRDefault="00BF7DCB" w:rsidP="003B1090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</w:rPr>
            </w:pPr>
            <w:r>
              <w:t>Муниципальная программа "Развитие имущественных и земельных отношений" муниципального образования «Кабанский район» (далее - Муниципальная программа)</w:t>
            </w:r>
          </w:p>
        </w:tc>
      </w:tr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Ответственный исполнитель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3B1090" w:rsidRDefault="00BF7DCB" w:rsidP="003B1090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</w:rPr>
            </w:pPr>
            <w:r>
              <w:t>МКУ «УГИ и ЗО Администрации МО «Кабанский район» Республики Бурятия»</w:t>
            </w:r>
          </w:p>
        </w:tc>
      </w:tr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Соисполнители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3B1090" w:rsidRDefault="00BF7DCB" w:rsidP="00993EF5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</w:rPr>
            </w:pPr>
            <w:r w:rsidRPr="00DA5D0D">
              <w:t>МКУ «Комитет ЖКХ  и строительства»</w:t>
            </w:r>
          </w:p>
        </w:tc>
      </w:tr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Подпрограммы муниципальной программы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A81BCB" w:rsidRDefault="00BF7DCB" w:rsidP="00A81BC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C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1412" w:history="1">
              <w:r w:rsidRPr="00A81BC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«</w:t>
              </w:r>
              <w:r w:rsidRPr="00A81BCB">
                <w:rPr>
                  <w:rFonts w:ascii="Times New Roman" w:hAnsi="Times New Roman" w:cs="Times New Roman"/>
                  <w:sz w:val="28"/>
                  <w:szCs w:val="28"/>
                </w:rPr>
                <w:t>Управление имуществом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»</w:t>
              </w:r>
            </w:hyperlink>
          </w:p>
          <w:p w:rsidR="00BF7DCB" w:rsidRPr="006D7D0B" w:rsidRDefault="00BF7DCB" w:rsidP="00A81BCB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</w:rPr>
            </w:pPr>
            <w:r>
              <w:t xml:space="preserve">2. </w:t>
            </w:r>
            <w:hyperlink w:anchor="P1667" w:history="1">
              <w:r>
                <w:rPr>
                  <w:color w:val="0000FF"/>
                </w:rPr>
                <w:t>"</w:t>
              </w:r>
              <w:r>
                <w:t>Комплексная жилая застройка на территории МО «Кабанский район</w:t>
              </w:r>
              <w:r>
                <w:rPr>
                  <w:color w:val="0000FF"/>
                </w:rPr>
                <w:t>"</w:t>
              </w:r>
            </w:hyperlink>
          </w:p>
        </w:tc>
      </w:tr>
      <w:tr w:rsidR="00BF7DCB" w:rsidRPr="00FA43CC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Цель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A81BCB" w:rsidRDefault="00BF7DCB" w:rsidP="00A81B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BCB">
              <w:rPr>
                <w:rFonts w:ascii="Times New Roman" w:hAnsi="Times New Roman" w:cs="Times New Roman"/>
                <w:sz w:val="28"/>
                <w:szCs w:val="28"/>
              </w:rPr>
              <w:t>1. 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района на основе эффективного управления муниципальным имуществом</w:t>
            </w:r>
          </w:p>
          <w:p w:rsidR="00BF7DCB" w:rsidRDefault="00BF7DCB" w:rsidP="00A81BCB">
            <w:r>
              <w:t>2. Формирование земельных участков под комплексную жилую застройку для последующего представления их на торги, обеспечение таких земельных участков коммунальной инфраструктурой,  реализация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      </w:r>
          </w:p>
          <w:p w:rsidR="00BF7DCB" w:rsidRPr="00FA43CC" w:rsidRDefault="00BF7DCB" w:rsidP="00FA43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Задачи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Default="00BF7DCB" w:rsidP="00A81BCB">
            <w:pPr>
              <w:spacing w:before="100" w:beforeAutospacing="1" w:after="100" w:afterAutospacing="1"/>
              <w:ind w:firstLine="0"/>
              <w:jc w:val="left"/>
            </w:pPr>
            <w:r>
              <w:t>1.</w:t>
            </w:r>
            <w:r w:rsidRPr="00003DFC">
              <w:t xml:space="preserve"> совершенствование системы управления муниципальными учреждениями, повышение эффективности использования ими муниципального имущества</w:t>
            </w:r>
            <w:r>
              <w:t xml:space="preserve">; </w:t>
            </w:r>
            <w:r>
              <w:br/>
              <w:t xml:space="preserve">2. </w:t>
            </w:r>
            <w:r w:rsidRPr="00003DFC">
              <w:t>повышение эффективности использования отдельных объект</w:t>
            </w:r>
            <w:r>
              <w:t xml:space="preserve">ов муниципального имущества; </w:t>
            </w:r>
            <w:r>
              <w:br/>
              <w:t>3.</w:t>
            </w:r>
            <w:r w:rsidRPr="00003DFC">
              <w:t xml:space="preserve">государственная регистрации прав на недвижимое </w:t>
            </w:r>
            <w:r w:rsidRPr="00003DFC">
              <w:lastRenderedPageBreak/>
              <w:t>имущество (проведение технической инвентаризации объ</w:t>
            </w:r>
            <w:r>
              <w:t xml:space="preserve">ектов недвижимого имущества); </w:t>
            </w:r>
            <w:r>
              <w:br/>
              <w:t>4.</w:t>
            </w:r>
            <w:r w:rsidRPr="00003DFC">
              <w:t xml:space="preserve"> администрирование доходов (учет поступления неналоговых платежей)</w:t>
            </w:r>
            <w:r>
              <w:t>;</w:t>
            </w:r>
          </w:p>
          <w:p w:rsidR="00BF7DCB" w:rsidRPr="00A81BCB" w:rsidRDefault="00BF7DCB" w:rsidP="00A81BCB">
            <w:pPr>
              <w:pStyle w:val="ConsPlusCell"/>
              <w:widowControl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A81BCB">
              <w:rPr>
                <w:rFonts w:ascii="Times New Roman" w:hAnsi="Times New Roman" w:cs="Times New Roman"/>
                <w:sz w:val="28"/>
                <w:szCs w:val="28"/>
              </w:rPr>
              <w:t>5.обеспечение проведения оценки рыночной стоимости объектов муниципального  имущества, предназначенного для сдачи в аренду и продажи (приватизации);</w:t>
            </w:r>
          </w:p>
          <w:p w:rsidR="00BF7DCB" w:rsidRDefault="00BF7DCB" w:rsidP="00A81BCB">
            <w:pPr>
              <w:spacing w:before="100" w:beforeAutospacing="1" w:after="100" w:afterAutospacing="1"/>
              <w:ind w:firstLine="0"/>
              <w:jc w:val="left"/>
            </w:pPr>
            <w:r>
              <w:t>6.о</w:t>
            </w:r>
            <w:r w:rsidRPr="00573A78">
              <w:t>беспечение изготовления технической документации на объекты муниципальной недвижимости</w:t>
            </w:r>
            <w:r>
              <w:t>, с постановкой их на кадастровый учет</w:t>
            </w:r>
            <w:r w:rsidRPr="00573A78">
              <w:t>.</w:t>
            </w:r>
          </w:p>
          <w:p w:rsidR="00BF7DCB" w:rsidRDefault="00BF7DCB" w:rsidP="00A81BCB">
            <w:pPr>
              <w:ind w:firstLine="0"/>
              <w:jc w:val="left"/>
            </w:pPr>
            <w:r>
              <w:t>7. Внесение изменений в схему территориального планирования района и генеральных планов поселений согласно программы  СЭР.</w:t>
            </w:r>
          </w:p>
          <w:p w:rsidR="00BF7DCB" w:rsidRDefault="00BF7DCB" w:rsidP="00A81BCB">
            <w:pPr>
              <w:ind w:firstLine="0"/>
              <w:jc w:val="left"/>
            </w:pPr>
            <w:r>
              <w:t>8.Создание условий для развития жилищного строительства.</w:t>
            </w:r>
          </w:p>
          <w:p w:rsidR="00BF7DCB" w:rsidRDefault="00BF7DCB" w:rsidP="00A81BCB">
            <w:pPr>
              <w:ind w:firstLine="0"/>
              <w:jc w:val="left"/>
            </w:pPr>
            <w:r>
              <w:t>9.Повышение уровня жилообеспеченности на одного жителя к 2017 году 27 кв.м. жилья.</w:t>
            </w:r>
          </w:p>
          <w:p w:rsidR="00BF7DCB" w:rsidRDefault="00BF7DCB" w:rsidP="00A81BCB">
            <w:pPr>
              <w:ind w:firstLine="0"/>
              <w:jc w:val="left"/>
            </w:pPr>
            <w:r>
              <w:t>10.Формирование и резервирование земельных участков в целях комплексного освоения жилищного строительства, подготовку документации по планировки территории, выполнение работ по обустройству территории посредством строительства объектов инженерной инфраструктуры, для осуществления жилищного строительства в соответствии с видами разрешенного использования, из земель, находящихся в государственной или муниципальной собственности.</w:t>
            </w:r>
          </w:p>
          <w:p w:rsidR="00BF7DCB" w:rsidRDefault="00BF7DCB" w:rsidP="00A81BCB">
            <w:pPr>
              <w:ind w:firstLine="0"/>
              <w:jc w:val="left"/>
            </w:pPr>
            <w:r>
              <w:t>11.Эффективное и публичное управление земельными ресурсами, находящимися в собственности МО «Кабанский район» путём внедрения 4 очереди ИСОГД</w:t>
            </w:r>
          </w:p>
          <w:p w:rsidR="00BF7DCB" w:rsidRDefault="00BF7DCB" w:rsidP="00A81BCB">
            <w:pPr>
              <w:ind w:firstLine="0"/>
              <w:jc w:val="left"/>
            </w:pPr>
            <w:r>
              <w:t>12.Реализация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по формированию и предоставлению земельных участков подлежащих представлению для жилищного строительства семьям, имеющим трех и более детей.</w:t>
            </w:r>
          </w:p>
          <w:p w:rsidR="00BF7DCB" w:rsidRDefault="00BF7DCB" w:rsidP="00A81BCB">
            <w:pPr>
              <w:ind w:firstLine="0"/>
              <w:jc w:val="left"/>
            </w:pPr>
            <w:r>
              <w:t>13.Обеспечение прозрачности действий органов местного самоуправления в сфере  земельных отношений, снижение административных барьеров.</w:t>
            </w:r>
          </w:p>
          <w:p w:rsidR="00BF7DCB" w:rsidRDefault="00BF7DCB" w:rsidP="00A81BCB">
            <w:pPr>
              <w:ind w:firstLine="0"/>
              <w:jc w:val="left"/>
            </w:pPr>
            <w:r>
              <w:t xml:space="preserve">14.Проведение  муниципального  земельного контроля за использованием земель, находящихся на территории МО «Кабанский район» </w:t>
            </w:r>
          </w:p>
          <w:p w:rsidR="00BF7DCB" w:rsidRPr="00204243" w:rsidRDefault="00BF7DCB" w:rsidP="00A81BC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lastRenderedPageBreak/>
              <w:t>Формирование  фонда муниципальных земель и фонда перераспределения  земель сельхозназначения на территории  МО «Кабанский район»</w:t>
            </w:r>
          </w:p>
        </w:tc>
      </w:tr>
      <w:tr w:rsidR="00BF7DCB" w:rsidRPr="003B1090">
        <w:trPr>
          <w:trHeight w:val="1427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lastRenderedPageBreak/>
              <w:t>Целевые индикаторы Муниципальной программы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A81BCB" w:rsidRDefault="00BF7DCB" w:rsidP="00986A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CB">
              <w:rPr>
                <w:rFonts w:ascii="Times New Roman" w:hAnsi="Times New Roman" w:cs="Times New Roman"/>
                <w:sz w:val="28"/>
                <w:szCs w:val="28"/>
              </w:rPr>
              <w:t xml:space="preserve">- рост неналоговых доходов бюджета муниципального района; </w:t>
            </w:r>
            <w:r w:rsidRPr="00A81BCB">
              <w:rPr>
                <w:rFonts w:ascii="Times New Roman" w:hAnsi="Times New Roman" w:cs="Times New Roman"/>
                <w:sz w:val="28"/>
                <w:szCs w:val="28"/>
              </w:rPr>
              <w:br/>
              <w:t>- количество объектов муниципальной собственности, дополнительно вовлеченных в хозяйственный оборот;</w:t>
            </w:r>
            <w:r w:rsidRPr="00A81BCB">
              <w:rPr>
                <w:rFonts w:ascii="Times New Roman" w:hAnsi="Times New Roman" w:cs="Times New Roman"/>
                <w:sz w:val="28"/>
                <w:szCs w:val="28"/>
              </w:rPr>
              <w:br/>
              <w:t>- арендуемая площадь недвижимого муниципального имущества</w:t>
            </w:r>
          </w:p>
          <w:p w:rsidR="00BF7DCB" w:rsidRDefault="00BF7DCB" w:rsidP="00A81BCB">
            <w:r>
              <w:t xml:space="preserve">-Установление  границ 21 населенного пункта на территории МО «Кабанский район» . </w:t>
            </w:r>
          </w:p>
          <w:p w:rsidR="00BF7DCB" w:rsidRDefault="00BF7DCB" w:rsidP="00A81BCB">
            <w:r>
              <w:t xml:space="preserve">- достижение к 2017 году 27 кв.м. обеспеченности жилой площади на 1 жителя района. </w:t>
            </w:r>
          </w:p>
          <w:p w:rsidR="00BF7DCB" w:rsidRDefault="00BF7DCB" w:rsidP="00A81BCB">
            <w:r>
              <w:t xml:space="preserve">- увеличение объема жилищного строительства к 2017 году в 1,2 раза по сравнению с 2014 годом. </w:t>
            </w:r>
          </w:p>
          <w:p w:rsidR="00BF7DCB" w:rsidRDefault="00BF7DCB" w:rsidP="00A81BCB">
            <w:r>
              <w:t xml:space="preserve">- выполнение мероприятий по переселению граждан из ветхого и аварийного жилья. </w:t>
            </w:r>
          </w:p>
          <w:p w:rsidR="00BF7DCB" w:rsidRDefault="00BF7DCB" w:rsidP="00A81BCB">
            <w:r>
              <w:t>- ликвидация ветхого и аварийного жилого фонда.</w:t>
            </w:r>
          </w:p>
          <w:p w:rsidR="00BF7DCB" w:rsidRDefault="00BF7DCB" w:rsidP="00A81BCB">
            <w:r>
              <w:t>- обеспечение жителей района земельными участками под жилищное строительство.</w:t>
            </w:r>
          </w:p>
          <w:p w:rsidR="00BF7DCB" w:rsidRDefault="00BF7DCB" w:rsidP="00A81BCB">
            <w:r>
              <w:t>- сформирование фонда перераспределения из невостребованных земельных долей земель сельхоз назначения.</w:t>
            </w:r>
          </w:p>
          <w:p w:rsidR="00BF7DCB" w:rsidRPr="00AE15E8" w:rsidRDefault="00BF7DCB" w:rsidP="00A81BCB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  <w:highlight w:val="green"/>
              </w:rPr>
            </w:pPr>
            <w:r>
              <w:t>-внедрение 4 очереди ИСОГД</w:t>
            </w:r>
          </w:p>
        </w:tc>
      </w:tr>
      <w:tr w:rsidR="00BF7DCB" w:rsidRPr="003B1090">
        <w:trPr>
          <w:trHeight w:val="123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Срок реализации Муниципальной программы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3B1090" w:rsidRDefault="00BF7DCB" w:rsidP="003B1090">
            <w:pPr>
              <w:widowControl w:val="0"/>
              <w:autoSpaceDE w:val="0"/>
              <w:autoSpaceDN w:val="0"/>
              <w:adjustRightInd w:val="0"/>
              <w:ind w:hanging="3"/>
              <w:rPr>
                <w:sz w:val="24"/>
                <w:szCs w:val="24"/>
              </w:rPr>
            </w:pPr>
            <w:r>
              <w:t>2015 - 2017 годы</w:t>
            </w:r>
          </w:p>
        </w:tc>
      </w:tr>
      <w:tr w:rsidR="00BF7DCB" w:rsidRPr="003B1090">
        <w:trPr>
          <w:trHeight w:val="22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Объем</w:t>
            </w:r>
          </w:p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финансирования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 xml:space="preserve">                                                                      (тыс.руб)</w:t>
            </w:r>
          </w:p>
        </w:tc>
      </w:tr>
      <w:tr w:rsidR="00BF7DCB" w:rsidRPr="003B1090">
        <w:trPr>
          <w:trHeight w:val="34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Годы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МБ</w:t>
            </w:r>
          </w:p>
        </w:tc>
      </w:tr>
      <w:tr w:rsidR="00BF7DCB" w:rsidRPr="003B1090">
        <w:trPr>
          <w:trHeight w:val="34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</w:p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2015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8038,86</w:t>
            </w:r>
          </w:p>
        </w:tc>
      </w:tr>
      <w:tr w:rsidR="00BF7DCB" w:rsidRPr="003B1090">
        <w:trPr>
          <w:trHeight w:val="24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6A1631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6A1631">
              <w:t xml:space="preserve">  2016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13603,67</w:t>
            </w:r>
          </w:p>
        </w:tc>
      </w:tr>
      <w:tr w:rsidR="00BF7DCB" w:rsidRPr="003B1090">
        <w:trPr>
          <w:trHeight w:val="3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6A1631" w:rsidRDefault="00BF7DCB" w:rsidP="006A1631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6A1631">
              <w:t xml:space="preserve">  2017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CB" w:rsidRPr="006A1631" w:rsidRDefault="00BF7DCB" w:rsidP="00417B50">
            <w:pPr>
              <w:widowControl w:val="0"/>
              <w:autoSpaceDE w:val="0"/>
              <w:autoSpaceDN w:val="0"/>
              <w:adjustRightInd w:val="0"/>
              <w:ind w:left="124" w:firstLine="0"/>
              <w:jc w:val="left"/>
            </w:pPr>
            <w:r w:rsidRPr="006A1631">
              <w:t>13579,84</w:t>
            </w:r>
          </w:p>
        </w:tc>
      </w:tr>
      <w:tr w:rsidR="00BF7DCB" w:rsidRPr="003B109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CA71EC" w:rsidRDefault="00BF7DCB" w:rsidP="003B109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A71EC">
              <w:t>Ожидаемые результаты реализации муниципальной программы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CB" w:rsidRPr="00AE15E8" w:rsidRDefault="00BF7DCB" w:rsidP="00B549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green"/>
              </w:rPr>
            </w:pPr>
            <w:r>
              <w:t xml:space="preserve">К 2017 году будут достигнуты следующие результаты: </w:t>
            </w:r>
            <w:r>
              <w:br/>
              <w:t xml:space="preserve">- поступление неналоговых доходов в бюджет муниципального района составит 2500 тыс.рублей; </w:t>
            </w:r>
            <w:r>
              <w:br/>
              <w:t xml:space="preserve">- 15 объектов муниципальной собственности будут дополнительно вовлечены в хозяйственный оборот; </w:t>
            </w:r>
            <w:r>
              <w:br/>
              <w:t>- 6150 кв.м. составит площадь недвижимого имущества, сданного в аренду </w:t>
            </w:r>
          </w:p>
        </w:tc>
      </w:tr>
    </w:tbl>
    <w:p w:rsidR="00BF7DCB" w:rsidRDefault="00BF7DCB" w:rsidP="0079122A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79122A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4B1DA6">
      <w:pPr>
        <w:ind w:firstLine="0"/>
        <w:jc w:val="center"/>
        <w:rPr>
          <w:b/>
          <w:bCs/>
        </w:rPr>
      </w:pPr>
    </w:p>
    <w:p w:rsidR="00BF7DCB" w:rsidRDefault="00BF7DCB" w:rsidP="004B1DA6">
      <w:pPr>
        <w:ind w:firstLine="0"/>
        <w:jc w:val="center"/>
        <w:rPr>
          <w:b/>
          <w:bCs/>
        </w:rPr>
      </w:pPr>
    </w:p>
    <w:p w:rsidR="00BF7DCB" w:rsidRDefault="00BF7DCB" w:rsidP="004B1DA6">
      <w:pPr>
        <w:ind w:firstLine="0"/>
        <w:jc w:val="center"/>
        <w:rPr>
          <w:b/>
          <w:bCs/>
        </w:rPr>
      </w:pPr>
    </w:p>
    <w:p w:rsidR="00BF7DCB" w:rsidRPr="004B1DA6" w:rsidRDefault="00BF7DCB" w:rsidP="004B1DA6">
      <w:pPr>
        <w:ind w:firstLine="0"/>
        <w:jc w:val="center"/>
        <w:rPr>
          <w:b/>
          <w:bCs/>
        </w:rPr>
      </w:pPr>
      <w:r w:rsidRPr="00A14134">
        <w:rPr>
          <w:b/>
          <w:bCs/>
        </w:rPr>
        <w:t xml:space="preserve">I. Общая характеристика </w:t>
      </w:r>
      <w:r w:rsidRPr="004B1DA6">
        <w:rPr>
          <w:b/>
          <w:bCs/>
        </w:rPr>
        <w:t>"Развитие имущественных и земельных отношений" муниципального образования «Кабанский район»</w:t>
      </w:r>
    </w:p>
    <w:p w:rsidR="00BF7DCB" w:rsidRPr="00112854" w:rsidRDefault="00BF7DCB" w:rsidP="004B1DA6">
      <w:pPr>
        <w:ind w:firstLine="0"/>
        <w:jc w:val="center"/>
      </w:pPr>
      <w:r w:rsidRPr="004B1DA6">
        <w:rPr>
          <w:b/>
          <w:bCs/>
        </w:rPr>
        <w:t xml:space="preserve">на 2015-2017 </w:t>
      </w:r>
      <w:r>
        <w:rPr>
          <w:b/>
          <w:bCs/>
        </w:rPr>
        <w:t>годы</w:t>
      </w:r>
    </w:p>
    <w:p w:rsidR="00BF7DCB" w:rsidRPr="00DA5D0D" w:rsidRDefault="00BF7DCB" w:rsidP="00290B3A">
      <w:pPr>
        <w:jc w:val="center"/>
      </w:pPr>
    </w:p>
    <w:p w:rsidR="00BF7DCB" w:rsidRPr="00290B3A" w:rsidRDefault="00BF7DCB" w:rsidP="00CA71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 xml:space="preserve">        Для строительства микрорайонов нового, современного, быстровозводимого жилья с обеспечением его коммунальной и социальной инфраструктурами необходимо определение новых площадок.</w:t>
      </w:r>
    </w:p>
    <w:p w:rsidR="00BF7DCB" w:rsidRPr="00290B3A" w:rsidRDefault="00BF7DCB" w:rsidP="00CA71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>В данное время проблемой   всех поселений является вопрос по изменению границ населенных пунктов. Несмотря на то что всеми поселениями разработаны и утверждены генеральные планы , до настоящего времени земельные участки из земель сельхозназначения предусмотренные для перевода не переведены в установленном порядке в категорию земель населенных пунктов.</w:t>
      </w:r>
    </w:p>
    <w:p w:rsidR="00BF7DCB" w:rsidRPr="00290B3A" w:rsidRDefault="00BF7DCB" w:rsidP="00CA71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 xml:space="preserve"> Работа по установлению границ населённых пунктов  позволит решить следующие важные вопросы:</w:t>
      </w:r>
    </w:p>
    <w:p w:rsidR="00BF7DCB" w:rsidRPr="00290B3A" w:rsidRDefault="00BF7DCB" w:rsidP="00CA71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>- перспективы реального расселения населения муниципального образования «Кабанский район »;</w:t>
      </w:r>
    </w:p>
    <w:p w:rsidR="00BF7DCB" w:rsidRPr="00290B3A" w:rsidRDefault="00BF7DCB" w:rsidP="00CA71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>- применения объемно-планировочных и инженерно-технических решений в застройке населенных пунктов с учетом местной специфики;</w:t>
      </w:r>
    </w:p>
    <w:p w:rsidR="00BF7DCB" w:rsidRPr="00290B3A" w:rsidRDefault="00BF7DCB" w:rsidP="00CA71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>- формирования земельных участков под комплексную жилую застройку.</w:t>
      </w:r>
    </w:p>
    <w:p w:rsidR="00BF7DCB" w:rsidRPr="00290B3A" w:rsidRDefault="00BF7DCB" w:rsidP="00CA71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3A">
        <w:rPr>
          <w:rFonts w:ascii="Times New Roman" w:hAnsi="Times New Roman" w:cs="Times New Roman"/>
          <w:sz w:val="28"/>
          <w:szCs w:val="28"/>
        </w:rPr>
        <w:t>Решение этих вопросов позволит выбрать оптимальный вариант осуществления целенаправленного и управляемого устойчивого развития территории муниципального образования «Кабанский район».</w:t>
      </w:r>
    </w:p>
    <w:p w:rsidR="00BF7DCB" w:rsidRDefault="00BF7DCB" w:rsidP="00CA71EC">
      <w:pPr>
        <w:ind w:firstLine="540"/>
      </w:pPr>
      <w:r w:rsidRPr="00290B3A">
        <w:t>В первую очередь определение границ населённых пунктов необходимо провести  для районного центра с. Кабанск,  с.Сухая, с. Заречье, с. Оймур,с Брянск,с Тресково. Так как именно в этих населенных пунктах наиболее востребованы земельные участки для жилищного строительства.</w:t>
      </w:r>
      <w:r>
        <w:t xml:space="preserve"> </w:t>
      </w:r>
    </w:p>
    <w:p w:rsidR="00BF7DCB" w:rsidRPr="00003DFC" w:rsidRDefault="00BF7DCB" w:rsidP="00CA71EC">
      <w:pPr>
        <w:ind w:firstLine="540"/>
      </w:pPr>
      <w:r>
        <w:t xml:space="preserve">  </w:t>
      </w:r>
      <w:r w:rsidRPr="00003DFC">
        <w:t xml:space="preserve">В соответствии с Программой социально-экономического развития </w:t>
      </w:r>
      <w:r>
        <w:t>Кабанского района Республики Бурятия</w:t>
      </w:r>
      <w:r w:rsidRPr="00003DFC">
        <w:t xml:space="preserve">, основной целью управления муниципальной собственностью является ее эффективное использование для функционирования органов местного самоуправления и решения задач </w:t>
      </w:r>
      <w:r>
        <w:t>социально-экономического</w:t>
      </w:r>
      <w:r w:rsidRPr="00003DFC">
        <w:t xml:space="preserve"> развития. Для достижения указанной цели должна быть решена задача создания системы управления муниципальной собственностью. </w:t>
      </w:r>
      <w:r w:rsidRPr="00003DFC">
        <w:br/>
        <w:t xml:space="preserve">Социально-экономическое развитие района должно осуществляться конструктивно и параллельно с системой управления муниципальной собственностью, должно обеспечиваться не только за счёт финансовых ресурсов, но и материальных средств.     </w:t>
      </w:r>
      <w:r w:rsidRPr="00003DFC">
        <w:br/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BF7DCB" w:rsidRPr="00003DFC" w:rsidRDefault="00BF7DCB" w:rsidP="00CA71EC">
      <w:pPr>
        <w:numPr>
          <w:ilvl w:val="0"/>
          <w:numId w:val="20"/>
        </w:numPr>
        <w:spacing w:before="100" w:beforeAutospacing="1" w:after="100" w:afterAutospacing="1"/>
      </w:pPr>
      <w:r w:rsidRPr="00003DFC">
        <w:t xml:space="preserve">оптимизацию структуры муниципальной собственности, предназначенной для решения вопросов местного значения, выполнения </w:t>
      </w:r>
      <w:r w:rsidRPr="00003DFC">
        <w:lastRenderedPageBreak/>
        <w:t>отдельных государственных полномочий, переданных органам местного самоуправления, а также предназначенной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действующим законодательством;</w:t>
      </w:r>
    </w:p>
    <w:p w:rsidR="00BF7DCB" w:rsidRPr="00003DFC" w:rsidRDefault="00BF7DCB" w:rsidP="00CA71EC">
      <w:pPr>
        <w:numPr>
          <w:ilvl w:val="0"/>
          <w:numId w:val="20"/>
        </w:numPr>
        <w:spacing w:before="100" w:beforeAutospacing="1" w:after="100" w:afterAutospacing="1"/>
      </w:pPr>
      <w:r w:rsidRPr="00003DFC">
        <w:t xml:space="preserve">максимизацию неналоговых доходов бюджета района на основе эффективного управления муниципальной собственностью. Формирование доходной части бюджета района от использования муниципального имущества </w:t>
      </w:r>
      <w:r>
        <w:t xml:space="preserve">на </w:t>
      </w:r>
      <w:r w:rsidRPr="00003DFC">
        <w:t>201</w:t>
      </w:r>
      <w:r>
        <w:t>4</w:t>
      </w:r>
      <w:r w:rsidRPr="00003DFC">
        <w:t xml:space="preserve"> году происходи</w:t>
      </w:r>
      <w:r>
        <w:t>ло</w:t>
      </w:r>
      <w:r w:rsidRPr="00003DFC">
        <w:t xml:space="preserve"> по следующим основным направлениям: доходы от сдачи в аренду муниципального имущества; доходы от продажи имущества</w:t>
      </w:r>
      <w:r>
        <w:t>, доходы от перечисления части прибыли, остающейся после уплаты налогов и иных обязательных платежей муниципальных унитарных предприятий, созданных МО «Кабанский район»</w:t>
      </w:r>
      <w:r w:rsidRPr="00003DFC">
        <w:t xml:space="preserve">. </w:t>
      </w:r>
    </w:p>
    <w:p w:rsidR="00BF7DCB" w:rsidRPr="00003DFC" w:rsidRDefault="00BF7DCB" w:rsidP="00CA71EC">
      <w:pPr>
        <w:spacing w:before="100" w:beforeAutospacing="1" w:after="100" w:afterAutospacing="1"/>
      </w:pPr>
      <w:r w:rsidRPr="00003DFC">
        <w:t>Следующий комплекс экономических действий, направлен на: </w:t>
      </w:r>
    </w:p>
    <w:p w:rsidR="00BF7DCB" w:rsidRPr="00003DFC" w:rsidRDefault="00BF7DCB" w:rsidP="00CA71EC">
      <w:pPr>
        <w:numPr>
          <w:ilvl w:val="0"/>
          <w:numId w:val="21"/>
        </w:numPr>
        <w:spacing w:before="100" w:beforeAutospacing="1" w:after="100" w:afterAutospacing="1"/>
      </w:pPr>
      <w:r w:rsidRPr="00003DFC">
        <w:t>поддержку развития малого и среднего предпринимательства на территории муниципального образования;</w:t>
      </w:r>
    </w:p>
    <w:p w:rsidR="00BF7DCB" w:rsidRPr="00003DFC" w:rsidRDefault="00BF7DCB" w:rsidP="00CA71EC">
      <w:pPr>
        <w:numPr>
          <w:ilvl w:val="0"/>
          <w:numId w:val="21"/>
        </w:numPr>
        <w:spacing w:before="100" w:beforeAutospacing="1" w:after="100" w:afterAutospacing="1"/>
      </w:pPr>
      <w:r w:rsidRPr="00003DFC">
        <w:t xml:space="preserve">создание благоприятной среды для привлечения инвестиций в муниципальный сектор экономики; </w:t>
      </w:r>
    </w:p>
    <w:p w:rsidR="00BF7DCB" w:rsidRPr="00003DFC" w:rsidRDefault="00BF7DCB" w:rsidP="00CA71EC">
      <w:pPr>
        <w:numPr>
          <w:ilvl w:val="0"/>
          <w:numId w:val="21"/>
        </w:numPr>
        <w:spacing w:before="100" w:beforeAutospacing="1" w:after="100" w:afterAutospacing="1"/>
      </w:pPr>
      <w:r w:rsidRPr="00003DFC">
        <w:t>развитие рыночных механизмов использования имущества - это проведение технической инвентаризаци</w:t>
      </w:r>
      <w:r>
        <w:t>и</w:t>
      </w:r>
      <w:r w:rsidRPr="00003DFC">
        <w:t xml:space="preserve"> объектов недвижимости</w:t>
      </w:r>
      <w:r>
        <w:t xml:space="preserve"> и их оценки</w:t>
      </w:r>
      <w:r w:rsidRPr="00003DFC">
        <w:t>.</w:t>
      </w:r>
    </w:p>
    <w:p w:rsidR="00BF7DCB" w:rsidRPr="00003DFC" w:rsidRDefault="00BF7DCB" w:rsidP="00CA71EC">
      <w:pPr>
        <w:spacing w:before="100" w:beforeAutospacing="1" w:after="100" w:afterAutospacing="1"/>
      </w:pPr>
      <w:r w:rsidRPr="00003DFC">
        <w:t xml:space="preserve">В настоящий момент в собственности </w:t>
      </w:r>
      <w:r>
        <w:t xml:space="preserve">МО «Кабанский район» </w:t>
      </w:r>
      <w:r w:rsidRPr="00003DFC">
        <w:t xml:space="preserve">находится </w:t>
      </w:r>
      <w:r>
        <w:t>248</w:t>
      </w:r>
      <w:r w:rsidRPr="00003DFC">
        <w:t xml:space="preserve"> объект</w:t>
      </w:r>
      <w:r>
        <w:t>ов</w:t>
      </w:r>
      <w:r w:rsidRPr="00003DFC">
        <w:t xml:space="preserve"> недвижимости, из них по </w:t>
      </w:r>
      <w:r>
        <w:t>10</w:t>
      </w:r>
      <w:r w:rsidRPr="00003DFC">
        <w:t xml:space="preserve"> объектам требуется проведение технической инвентаризации, затраты по которой составят </w:t>
      </w:r>
      <w:r>
        <w:t>200</w:t>
      </w:r>
      <w:r w:rsidRPr="00003DFC">
        <w:t xml:space="preserve"> тыс. рублей. </w:t>
      </w:r>
      <w:r w:rsidRPr="00003DFC">
        <w:br/>
        <w:t xml:space="preserve">При комплексном подходе к решению проблемы технической инвентаризации и при достаточном финансировании можно будет создать полноценный рынок недвижимости. </w:t>
      </w:r>
      <w:r w:rsidRPr="00003DFC">
        <w:br/>
      </w:r>
    </w:p>
    <w:p w:rsidR="00BF7DCB" w:rsidRPr="00003DFC" w:rsidRDefault="00BF7DCB" w:rsidP="000D6794">
      <w:pPr>
        <w:spacing w:before="100" w:beforeAutospacing="1" w:after="100" w:afterAutospacing="1"/>
      </w:pPr>
      <w:r w:rsidRPr="00003DFC">
        <w:t xml:space="preserve">Муниципальная собственность должна служить интересам комплексного социально - экономического развития муниципального образования </w:t>
      </w:r>
      <w:r>
        <w:t xml:space="preserve">«Кабанский </w:t>
      </w:r>
      <w:r w:rsidRPr="00003DFC">
        <w:t xml:space="preserve"> район</w:t>
      </w:r>
      <w:r>
        <w:t>»,</w:t>
      </w:r>
      <w:r w:rsidRPr="00003DFC">
        <w:t xml:space="preserve"> росту экономического потенциала района. </w:t>
      </w:r>
      <w:r w:rsidRPr="00003DFC">
        <w:br/>
        <w:t xml:space="preserve">В состав объектов муниципальной собственности </w:t>
      </w:r>
      <w:r>
        <w:t xml:space="preserve">МО «Кабанский район» </w:t>
      </w:r>
      <w:r w:rsidRPr="00003DFC">
        <w:t>входит:</w:t>
      </w:r>
    </w:p>
    <w:p w:rsidR="00BF7DCB" w:rsidRPr="00003DFC" w:rsidRDefault="00BF7DCB" w:rsidP="00CA71EC">
      <w:pPr>
        <w:numPr>
          <w:ilvl w:val="0"/>
          <w:numId w:val="22"/>
        </w:numPr>
        <w:spacing w:before="100" w:beforeAutospacing="1" w:after="100" w:afterAutospacing="1"/>
      </w:pPr>
      <w:r w:rsidRPr="00003DFC">
        <w:t>имущество, закрепленное на праве оперативного управления за муниципальными учреждениями;</w:t>
      </w:r>
    </w:p>
    <w:p w:rsidR="00BF7DCB" w:rsidRPr="00003DFC" w:rsidRDefault="00BF7DCB" w:rsidP="00CA71EC">
      <w:pPr>
        <w:numPr>
          <w:ilvl w:val="0"/>
          <w:numId w:val="22"/>
        </w:numPr>
        <w:spacing w:before="100" w:beforeAutospacing="1" w:after="100" w:afterAutospacing="1"/>
      </w:pPr>
      <w:r w:rsidRPr="00003DFC">
        <w:t>имущество, составляющее казну муниципального образования</w:t>
      </w:r>
      <w:r>
        <w:t>.</w:t>
      </w:r>
    </w:p>
    <w:p w:rsidR="00BF7DCB" w:rsidRPr="00290B3A" w:rsidRDefault="00BF7DCB" w:rsidP="00CA71EC">
      <w:pPr>
        <w:ind w:firstLine="540"/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Pr="00A14134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A14134">
        <w:rPr>
          <w:b/>
          <w:bCs/>
        </w:rPr>
        <w:lastRenderedPageBreak/>
        <w:t>II. Основные цели и задачи муниципальной программы</w:t>
      </w:r>
    </w:p>
    <w:p w:rsidR="00BF7DCB" w:rsidRPr="00C8669A" w:rsidRDefault="00BF7DCB" w:rsidP="000844EC">
      <w:pPr>
        <w:autoSpaceDE w:val="0"/>
        <w:autoSpaceDN w:val="0"/>
        <w:adjustRightInd w:val="0"/>
        <w:ind w:firstLine="0"/>
        <w:rPr>
          <w:sz w:val="24"/>
          <w:szCs w:val="24"/>
          <w:highlight w:val="cyan"/>
        </w:rPr>
      </w:pPr>
    </w:p>
    <w:p w:rsidR="00BF7DCB" w:rsidRPr="00DA5D0D" w:rsidRDefault="00BF7DCB" w:rsidP="00CA71EC">
      <w:r w:rsidRPr="00290B3A">
        <w:t xml:space="preserve">       Цель программы комплексной застройки жилья на территории Кабанского района на 2015-2017 годы- комплексное решение вопросов жилищного строительства путём внесения при необходимости изменений в градостроительную документацию, формирование земельных участков под комплексную жилую застройку для последующего представления их на торги, обеспечение таких земельных участков коммунальной инфраструктурой, эффективное использование земельных ресурсов через  внедрение 4 очереди ИСОГД</w:t>
      </w:r>
      <w:r>
        <w:t xml:space="preserve">              в</w:t>
      </w:r>
      <w:r w:rsidRPr="00DA5D0D">
        <w:t xml:space="preserve"> результате реализации программы комплексной жилой застройки должны быть обеспечены жильём основные группы населения и достигнуты существенные         результаты по улучшению жилищных условий граждан.</w:t>
      </w:r>
    </w:p>
    <w:p w:rsidR="00BF7DCB" w:rsidRPr="00290B3A" w:rsidRDefault="00BF7DCB" w:rsidP="00CA71EC">
      <w:pPr>
        <w:pStyle w:val="af3"/>
      </w:pPr>
    </w:p>
    <w:p w:rsidR="00BF7DCB" w:rsidRPr="00290B3A" w:rsidRDefault="00BF7DCB" w:rsidP="00CA71EC">
      <w:pPr>
        <w:pStyle w:val="af3"/>
      </w:pPr>
      <w:r w:rsidRPr="00290B3A">
        <w:t>Основными задачами являются:</w:t>
      </w:r>
    </w:p>
    <w:p w:rsidR="00BF7DCB" w:rsidRPr="00290B3A" w:rsidRDefault="00BF7DCB" w:rsidP="00CA71EC">
      <w:pPr>
        <w:pStyle w:val="af3"/>
        <w:ind w:left="1276" w:firstLine="0"/>
      </w:pPr>
      <w:r w:rsidRPr="00290B3A">
        <w:t xml:space="preserve">- Реализация схемы территориального планирования района, генеральных планов поселений и проектов планировки и застройки населённых пунктов в составе поселений. </w:t>
      </w:r>
    </w:p>
    <w:p w:rsidR="00BF7DCB" w:rsidRPr="00290B3A" w:rsidRDefault="00BF7DCB" w:rsidP="00CA71EC">
      <w:pPr>
        <w:pStyle w:val="af3"/>
        <w:ind w:left="1276" w:firstLine="0"/>
      </w:pPr>
      <w:r w:rsidRPr="00290B3A">
        <w:t xml:space="preserve">- Описание местоположения и установления на местности границ </w:t>
      </w:r>
      <w:r>
        <w:t>населённых пунктов</w:t>
      </w:r>
      <w:r w:rsidRPr="00290B3A">
        <w:t>.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>- Создание условий для развития жилищного строительства и повышения уровня обеспеченности населения жильем через увеличение объемов строительства жилья, обеспеченного необходимой коммуналь</w:t>
      </w:r>
      <w:r>
        <w:t xml:space="preserve">ной инфраструктурой </w:t>
      </w:r>
      <w:r w:rsidRPr="00290B3A">
        <w:t>, и за счет развития системы финансово-кредитных институтов и механизмов.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проживания.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 xml:space="preserve">- Обеспечение условий свободного доступа населения к потреблению жилищно-коммунальных услуг на уровне, соответствующем стандартам качества.   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 xml:space="preserve">- Улучшение жилищных условий граждан проживающих в ветхом аварийном жилищном фонде. 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>- Увеличение числа семей улучшивших свои жилищные условия за счет         ипотечных жилищных кредитов (займов).</w:t>
      </w:r>
    </w:p>
    <w:p w:rsidR="00BF7DCB" w:rsidRPr="00290B3A" w:rsidRDefault="00BF7DCB" w:rsidP="00CA71EC">
      <w:pPr>
        <w:pStyle w:val="a0"/>
        <w:numPr>
          <w:ilvl w:val="0"/>
          <w:numId w:val="0"/>
        </w:numPr>
        <w:ind w:left="1276"/>
      </w:pPr>
      <w:r w:rsidRPr="00290B3A">
        <w:t>-Снижение износа основного фонда предприятий жилищно-коммунального комплекса.</w:t>
      </w:r>
    </w:p>
    <w:p w:rsidR="00BF7DCB" w:rsidRPr="00DA5D0D" w:rsidRDefault="00BF7DCB" w:rsidP="00CA71EC">
      <w:pPr>
        <w:ind w:left="1276"/>
      </w:pPr>
      <w:r w:rsidRPr="00DA5D0D">
        <w:t xml:space="preserve">-Формирование и резервирование земельных участков в целях комплексного освоения жилищного строительства, подготовку документации по планировки территории, выполнение работ по обустройству территории посредством строительства объектов </w:t>
      </w:r>
      <w:r w:rsidRPr="00DA5D0D">
        <w:lastRenderedPageBreak/>
        <w:t>инженерной инфраструктуры, для осуществления жилищного строительства в соответствии с видами разрешенного использования, из земель, находящихся в государственной или муниципальной собственности.</w:t>
      </w:r>
    </w:p>
    <w:p w:rsidR="00BF7DCB" w:rsidRPr="00DA5D0D" w:rsidRDefault="00BF7DCB" w:rsidP="00CA71EC">
      <w:pPr>
        <w:ind w:left="1276" w:hanging="1276"/>
      </w:pPr>
      <w:r w:rsidRPr="00DA5D0D">
        <w:t xml:space="preserve">                   -Эффективное и публичное управление земельными ресурсами, находящимися в введенье  МО «Кабанский район» через мероприятия по внедрени</w:t>
      </w:r>
      <w:r>
        <w:t xml:space="preserve">ю 4 очереди ИСОГД </w:t>
      </w:r>
    </w:p>
    <w:p w:rsidR="00BF7DCB" w:rsidRPr="00DA5D0D" w:rsidRDefault="00BF7DCB" w:rsidP="00CA71EC">
      <w:pPr>
        <w:ind w:left="1276" w:hanging="916"/>
      </w:pPr>
      <w:r w:rsidRPr="00DA5D0D">
        <w:t xml:space="preserve">             -Реализация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по формированию и предоставлению земельных участков подлежащих представлению для жилищного строительства семьям, имеющим трех и более детей.</w:t>
      </w:r>
    </w:p>
    <w:p w:rsidR="00BF7DCB" w:rsidRPr="00DA5D0D" w:rsidRDefault="00BF7DCB" w:rsidP="00CA71EC">
      <w:pPr>
        <w:ind w:left="1276" w:hanging="916"/>
      </w:pPr>
      <w:r w:rsidRPr="00DA5D0D">
        <w:t xml:space="preserve">             -Обеспечение прозрачности действий органов местного самоуправления  в сфере  земельных отношений, снижение административных барьеров.</w:t>
      </w:r>
    </w:p>
    <w:p w:rsidR="00BF7DCB" w:rsidRPr="00DA5D0D" w:rsidRDefault="00BF7DCB" w:rsidP="00CA71EC">
      <w:pPr>
        <w:ind w:left="1276" w:hanging="774"/>
      </w:pPr>
      <w:r w:rsidRPr="00DA5D0D">
        <w:t xml:space="preserve">             - Проведения  муниципального  земельного контроля за использованием земель, находящихся на территории МО «Кабанский район»</w:t>
      </w:r>
    </w:p>
    <w:p w:rsidR="00BF7DCB" w:rsidRDefault="00BF7DCB" w:rsidP="00CA71EC">
      <w:pPr>
        <w:ind w:left="1276" w:hanging="1276"/>
      </w:pPr>
      <w:r w:rsidRPr="00DA5D0D">
        <w:t xml:space="preserve">                  -Формирование  фонда перераспределения земель на территории  МО «Кабанский район» </w:t>
      </w:r>
    </w:p>
    <w:p w:rsidR="00BF7DCB" w:rsidRDefault="00BF7DCB" w:rsidP="00CA71EC">
      <w:pPr>
        <w:ind w:left="1276" w:hanging="1276"/>
      </w:pPr>
    </w:p>
    <w:p w:rsidR="00BF7DCB" w:rsidRDefault="00BF7DCB" w:rsidP="00990CFE">
      <w:pPr>
        <w:autoSpaceDE w:val="0"/>
        <w:autoSpaceDN w:val="0"/>
        <w:adjustRightInd w:val="0"/>
        <w:ind w:firstLine="0"/>
        <w:outlineLvl w:val="0"/>
        <w:rPr>
          <w:b/>
          <w:bCs/>
        </w:rPr>
      </w:pPr>
    </w:p>
    <w:p w:rsidR="00BF7DCB" w:rsidRPr="00A14134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A14134">
        <w:rPr>
          <w:b/>
          <w:bCs/>
        </w:rPr>
        <w:t>III. Ожидаемые результаты реализации муниципальной</w:t>
      </w:r>
    </w:p>
    <w:p w:rsidR="00BF7DCB" w:rsidRPr="00A14134" w:rsidRDefault="00BF7DCB" w:rsidP="000844E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A14134">
        <w:rPr>
          <w:b/>
          <w:bCs/>
        </w:rPr>
        <w:t>программы</w:t>
      </w:r>
    </w:p>
    <w:p w:rsidR="00BF7DCB" w:rsidRPr="00CF2CD3" w:rsidRDefault="00BF7DCB" w:rsidP="000844EC">
      <w:pPr>
        <w:autoSpaceDE w:val="0"/>
        <w:autoSpaceDN w:val="0"/>
        <w:adjustRightInd w:val="0"/>
        <w:ind w:firstLine="0"/>
        <w:rPr>
          <w:highlight w:val="cyan"/>
        </w:rPr>
      </w:pPr>
    </w:p>
    <w:p w:rsidR="00BF7DCB" w:rsidRPr="00EF5125" w:rsidRDefault="00BF7DCB" w:rsidP="00EF5125">
      <w:pPr>
        <w:pStyle w:val="31"/>
        <w:ind w:left="360"/>
        <w:jc w:val="both"/>
        <w:rPr>
          <w:sz w:val="28"/>
          <w:szCs w:val="28"/>
        </w:rPr>
      </w:pPr>
      <w:r w:rsidRPr="00EF5125">
        <w:rPr>
          <w:sz w:val="28"/>
          <w:szCs w:val="28"/>
        </w:rPr>
        <w:t>- Обеспечение территории района современной градостроительной документацией;</w:t>
      </w:r>
    </w:p>
    <w:p w:rsidR="00BF7DCB" w:rsidRPr="00EF5125" w:rsidRDefault="00BF7DCB" w:rsidP="00EF5125">
      <w:pPr>
        <w:pStyle w:val="31"/>
        <w:ind w:left="360"/>
        <w:jc w:val="both"/>
        <w:rPr>
          <w:sz w:val="28"/>
          <w:szCs w:val="28"/>
        </w:rPr>
      </w:pPr>
      <w:r w:rsidRPr="00EF5125">
        <w:rPr>
          <w:sz w:val="28"/>
          <w:szCs w:val="28"/>
        </w:rPr>
        <w:t>- Обеспеченность на 1 жителя района 27,0 кв.м. жилой площади;</w:t>
      </w:r>
    </w:p>
    <w:p w:rsidR="00BF7DCB" w:rsidRPr="00EF5125" w:rsidRDefault="00BF7DCB" w:rsidP="00EF5125">
      <w:pPr>
        <w:pStyle w:val="31"/>
        <w:ind w:left="360"/>
        <w:jc w:val="both"/>
        <w:rPr>
          <w:sz w:val="28"/>
          <w:szCs w:val="28"/>
        </w:rPr>
      </w:pPr>
      <w:r w:rsidRPr="00EF5125">
        <w:rPr>
          <w:sz w:val="28"/>
          <w:szCs w:val="28"/>
        </w:rPr>
        <w:t>- Увеличение объемов жилищного строительства к 2017 году в 1,2 раза по сравнению с 2014 годом;</w:t>
      </w:r>
    </w:p>
    <w:p w:rsidR="00BF7DCB" w:rsidRPr="00EF5125" w:rsidRDefault="00BF7DCB" w:rsidP="00EF5125">
      <w:pPr>
        <w:pStyle w:val="31"/>
        <w:ind w:left="360"/>
        <w:jc w:val="both"/>
        <w:rPr>
          <w:sz w:val="28"/>
          <w:szCs w:val="28"/>
        </w:rPr>
      </w:pPr>
      <w:r w:rsidRPr="00EF5125">
        <w:rPr>
          <w:sz w:val="28"/>
          <w:szCs w:val="28"/>
        </w:rPr>
        <w:t>- Ликвидация ветхого и аварийного фонда;</w:t>
      </w:r>
    </w:p>
    <w:p w:rsidR="00BF7DCB" w:rsidRPr="00EF5125" w:rsidRDefault="00BF7DCB" w:rsidP="00EF5125">
      <w:pPr>
        <w:pStyle w:val="31"/>
        <w:ind w:left="360"/>
        <w:jc w:val="both"/>
        <w:rPr>
          <w:sz w:val="28"/>
          <w:szCs w:val="28"/>
        </w:rPr>
      </w:pPr>
      <w:r w:rsidRPr="00EF5125">
        <w:rPr>
          <w:sz w:val="28"/>
          <w:szCs w:val="28"/>
        </w:rPr>
        <w:t>- Обеспечение жителей района земельными участками под индивидуальное жилищное строительство;</w:t>
      </w:r>
    </w:p>
    <w:p w:rsidR="00BF7DCB" w:rsidRPr="00EF5125" w:rsidRDefault="00BF7DCB" w:rsidP="00990CFE">
      <w:pPr>
        <w:ind w:left="360"/>
      </w:pPr>
      <w:r w:rsidRPr="00EF5125">
        <w:t xml:space="preserve">- Формирование фонда перераспределения из невостребованных земельных долей земель сельхоз назначения. </w:t>
      </w:r>
      <w:r>
        <w:t xml:space="preserve">К 2017 году будут достигнуты следующие результаты: </w:t>
      </w:r>
      <w:r>
        <w:br/>
        <w:t xml:space="preserve">- поступление неналоговых доходов в бюджет муниципального района составит 2500 тыс.рублей; </w:t>
      </w:r>
      <w:r>
        <w:br/>
        <w:t xml:space="preserve">- 15 объектов муниципальной собственности будут дополнительно вовлечены в хозяйственный оборот; </w:t>
      </w:r>
      <w:r>
        <w:br/>
        <w:t>- 6150 кв.м. составит площадь недвижимого имущества, сданного в аренд</w:t>
      </w: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Pr="006452B3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6452B3">
        <w:rPr>
          <w:b/>
          <w:bCs/>
        </w:rPr>
        <w:lastRenderedPageBreak/>
        <w:t>IV. Целевые индикаторы муниципальной программы</w:t>
      </w:r>
    </w:p>
    <w:p w:rsidR="00BF7DCB" w:rsidRPr="0022286F" w:rsidRDefault="00BF7DCB" w:rsidP="000844EC">
      <w:pPr>
        <w:autoSpaceDE w:val="0"/>
        <w:autoSpaceDN w:val="0"/>
        <w:adjustRightInd w:val="0"/>
        <w:ind w:firstLine="0"/>
      </w:pPr>
    </w:p>
    <w:p w:rsidR="00BF7DCB" w:rsidRPr="0022286F" w:rsidRDefault="00BF7DCB" w:rsidP="00C54B8C">
      <w:pPr>
        <w:autoSpaceDE w:val="0"/>
        <w:autoSpaceDN w:val="0"/>
        <w:adjustRightInd w:val="0"/>
        <w:ind w:firstLine="720"/>
      </w:pPr>
      <w:r w:rsidRPr="0022286F">
        <w:t>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BF7DCB" w:rsidRDefault="00BF7DCB" w:rsidP="0086747A">
      <w:pPr>
        <w:autoSpaceDE w:val="0"/>
        <w:autoSpaceDN w:val="0"/>
        <w:adjustRightInd w:val="0"/>
        <w:rPr>
          <w:sz w:val="24"/>
          <w:szCs w:val="24"/>
        </w:rPr>
      </w:pPr>
    </w:p>
    <w:p w:rsidR="00BF7DCB" w:rsidRDefault="00BF7DCB" w:rsidP="00C54B8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F7DCB" w:rsidRDefault="00BF7DCB" w:rsidP="00C54B8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F7DCB" w:rsidRPr="0022286F" w:rsidRDefault="00BF7DCB" w:rsidP="00C54B8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2286F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</w:t>
      </w:r>
    </w:p>
    <w:p w:rsidR="00BF7DCB" w:rsidRDefault="00BF7DCB" w:rsidP="00C54B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7DCB" w:rsidRPr="0086747A" w:rsidRDefault="00BF7DCB" w:rsidP="00C54B8C">
      <w:pPr>
        <w:autoSpaceDE w:val="0"/>
        <w:autoSpaceDN w:val="0"/>
        <w:adjustRightInd w:val="0"/>
        <w:jc w:val="center"/>
      </w:pPr>
      <w:r w:rsidRPr="0086747A">
        <w:t>Индикаторы муниципальной программы</w:t>
      </w:r>
    </w:p>
    <w:tbl>
      <w:tblPr>
        <w:tblW w:w="4744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88"/>
        <w:gridCol w:w="1274"/>
        <w:gridCol w:w="1807"/>
        <w:gridCol w:w="1267"/>
        <w:gridCol w:w="1088"/>
        <w:gridCol w:w="1305"/>
      </w:tblGrid>
      <w:tr w:rsidR="00BF7DCB" w:rsidRPr="00003DFC">
        <w:trPr>
          <w:trHeight w:val="1132"/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</w:tcPr>
          <w:p w:rsidR="00BF7DCB" w:rsidRPr="00003DFC" w:rsidRDefault="00BF7DCB" w:rsidP="00911B1B">
            <w:pPr>
              <w:spacing w:before="100" w:beforeAutospacing="1" w:after="100" w:afterAutospacing="1"/>
              <w:jc w:val="center"/>
            </w:pPr>
            <w:r w:rsidRPr="00003DFC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целевого индикатора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0CFE">
              <w:rPr>
                <w:b/>
                <w:bCs/>
                <w:sz w:val="24"/>
                <w:szCs w:val="24"/>
              </w:rPr>
              <w:t>2013 г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90CFE">
              <w:rPr>
                <w:b/>
                <w:bCs/>
                <w:sz w:val="24"/>
                <w:szCs w:val="24"/>
              </w:rPr>
              <w:t>План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90CFE">
              <w:rPr>
                <w:b/>
                <w:bCs/>
                <w:sz w:val="24"/>
                <w:szCs w:val="24"/>
              </w:rPr>
              <w:t>2014 г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b/>
                <w:bCs/>
                <w:sz w:val="24"/>
                <w:szCs w:val="24"/>
              </w:rPr>
              <w:t>2015 г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b/>
                <w:bCs/>
                <w:sz w:val="24"/>
                <w:szCs w:val="24"/>
              </w:rPr>
              <w:t>2016 г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FA"/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right="404" w:firstLine="0"/>
              <w:jc w:val="left"/>
              <w:rPr>
                <w:sz w:val="24"/>
                <w:szCs w:val="24"/>
              </w:rPr>
            </w:pPr>
            <w:r w:rsidRPr="00990CFE">
              <w:rPr>
                <w:b/>
                <w:bCs/>
                <w:sz w:val="24"/>
                <w:szCs w:val="24"/>
              </w:rPr>
              <w:t>2017 г</w:t>
            </w:r>
          </w:p>
        </w:tc>
      </w:tr>
      <w:tr w:rsidR="00BF7DCB" w:rsidRPr="00003DFC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 xml:space="preserve">1. Поступление неналоговых доходов бюджета района (тыс. руб.), из них: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1906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2585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3065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3165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2665</w:t>
            </w:r>
          </w:p>
        </w:tc>
      </w:tr>
      <w:tr w:rsidR="00BF7DCB" w:rsidRPr="0001750A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- доходы от реализации муниципального имущества (тыс. руб.)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-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720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1000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1000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500</w:t>
            </w:r>
          </w:p>
        </w:tc>
      </w:tr>
      <w:tr w:rsidR="00BF7DCB" w:rsidRPr="00003DFC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- арендная плата за пользование муниципальным имуществом (тыс. руб.)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1906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1865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2065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2165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2165</w:t>
            </w:r>
          </w:p>
        </w:tc>
      </w:tr>
      <w:tr w:rsidR="00BF7DCB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-доходы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203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140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140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140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140</w:t>
            </w:r>
          </w:p>
        </w:tc>
      </w:tr>
      <w:tr w:rsidR="00BF7DCB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 xml:space="preserve">2. Количество дополнительно вовлеченных объектов муниципальной собственности в хозяйственный оборот (шт.)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Часть Молочной кухни п. Селенгинск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Помещение в здании бывшей гостиницы с. Кабанск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0CFE">
              <w:rPr>
                <w:sz w:val="24"/>
                <w:szCs w:val="24"/>
              </w:rPr>
              <w:t>10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База отдыха Иркутская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15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База отдыха Рассвет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1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Оставшаяся часть молочной кухни п. Селенгинск</w:t>
            </w:r>
          </w:p>
        </w:tc>
      </w:tr>
      <w:tr w:rsidR="00BF7DCB" w:rsidRPr="00003DFC">
        <w:trPr>
          <w:tblCellSpacing w:w="7" w:type="dxa"/>
          <w:jc w:val="center"/>
        </w:trPr>
        <w:tc>
          <w:tcPr>
            <w:tcW w:w="14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11B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3. Арендуемая площадь недвижимого муниципального имущества (кв.м.)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4163,9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4294,2</w:t>
            </w:r>
          </w:p>
          <w:p w:rsidR="00BF7DCB" w:rsidRPr="00990CFE" w:rsidRDefault="00BF7DCB" w:rsidP="00990CFE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5962,6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6100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F7DCB" w:rsidRPr="00990CFE" w:rsidRDefault="00BF7DCB" w:rsidP="00990CFE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990CFE">
              <w:rPr>
                <w:sz w:val="24"/>
                <w:szCs w:val="24"/>
              </w:rPr>
              <w:t>6230,2</w:t>
            </w:r>
          </w:p>
        </w:tc>
      </w:tr>
    </w:tbl>
    <w:p w:rsidR="00BF7DCB" w:rsidRDefault="00BF7DCB" w:rsidP="0086747A">
      <w:pPr>
        <w:autoSpaceDE w:val="0"/>
        <w:autoSpaceDN w:val="0"/>
        <w:adjustRightInd w:val="0"/>
        <w:ind w:left="-720" w:firstLine="0"/>
        <w:jc w:val="center"/>
        <w:outlineLvl w:val="0"/>
        <w:rPr>
          <w:b/>
          <w:bCs/>
        </w:rPr>
      </w:pPr>
    </w:p>
    <w:p w:rsidR="00BF7DCB" w:rsidRPr="0086747A" w:rsidRDefault="00BF7DCB" w:rsidP="0086747A">
      <w:pPr>
        <w:autoSpaceDE w:val="0"/>
        <w:autoSpaceDN w:val="0"/>
        <w:adjustRightInd w:val="0"/>
        <w:ind w:left="-720" w:firstLine="0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margin" w:tblpXSpec="center" w:tblpY="2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994"/>
        <w:gridCol w:w="1800"/>
        <w:gridCol w:w="1939"/>
        <w:gridCol w:w="910"/>
        <w:gridCol w:w="1670"/>
      </w:tblGrid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Наименование целевого  индикатора</w:t>
            </w: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2013 г.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План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2014 г.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ind w:left="-1728" w:firstLine="1728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2015 г.</w:t>
            </w:r>
          </w:p>
        </w:tc>
        <w:tc>
          <w:tcPr>
            <w:tcW w:w="910" w:type="dxa"/>
          </w:tcPr>
          <w:p w:rsidR="00BF7DCB" w:rsidRPr="0086747A" w:rsidRDefault="00BF7DCB" w:rsidP="00990CFE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2016 г.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2017г.</w:t>
            </w: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Установление  границ 21 населенного пункта на территории МО «Кабанский район»,шт.</w:t>
            </w:r>
          </w:p>
        </w:tc>
        <w:tc>
          <w:tcPr>
            <w:tcW w:w="99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Установлено</w:t>
            </w:r>
          </w:p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5 границ.</w:t>
            </w:r>
          </w:p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с.Кабанск,с.Тресково</w:t>
            </w:r>
            <w:r>
              <w:rPr>
                <w:sz w:val="22"/>
                <w:szCs w:val="22"/>
              </w:rPr>
              <w:t>,</w:t>
            </w:r>
            <w:r w:rsidRPr="0086747A">
              <w:rPr>
                <w:sz w:val="22"/>
                <w:szCs w:val="22"/>
              </w:rPr>
              <w:t>с.Истомино,у.Дулан,с.Оймур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10</w:t>
            </w:r>
          </w:p>
        </w:tc>
        <w:tc>
          <w:tcPr>
            <w:tcW w:w="91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7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4</w:t>
            </w: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 xml:space="preserve">Достижение к 2017 году 27 кв.м. обеспеченности жилой площади на 1 жителя района,кв.м. 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24,6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25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25,5</w:t>
            </w:r>
          </w:p>
        </w:tc>
        <w:tc>
          <w:tcPr>
            <w:tcW w:w="91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26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27</w:t>
            </w: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Увеличение объема жилищного строительства к 2017 году в 1,2 раза по сравнению с 2014 годом.,кв.м.</w:t>
            </w: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17000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18000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19500</w:t>
            </w:r>
          </w:p>
        </w:tc>
        <w:tc>
          <w:tcPr>
            <w:tcW w:w="91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20500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21600</w:t>
            </w: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Ликвидация ветхого и аварийного жилого фонда.</w:t>
            </w: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 xml:space="preserve">60% от </w:t>
            </w:r>
          </w:p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фонда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 xml:space="preserve">40% от 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фонда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100 %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фонда</w:t>
            </w:r>
          </w:p>
        </w:tc>
        <w:tc>
          <w:tcPr>
            <w:tcW w:w="91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Обеспечение жителей района земельными участками под жилищное строительство.,га.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26,78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28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29</w:t>
            </w:r>
          </w:p>
        </w:tc>
        <w:tc>
          <w:tcPr>
            <w:tcW w:w="91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30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31</w:t>
            </w:r>
          </w:p>
        </w:tc>
      </w:tr>
      <w:tr w:rsidR="00BF7DCB" w:rsidRPr="00DA5D0D"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Формирование фонда перераспределения из невостребованных земельных долей земель сельхоз назначения.,га.</w:t>
            </w:r>
          </w:p>
          <w:p w:rsidR="00BF7DCB" w:rsidRPr="0086747A" w:rsidRDefault="00BF7DCB" w:rsidP="00990CF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52</w:t>
            </w:r>
          </w:p>
        </w:tc>
        <w:tc>
          <w:tcPr>
            <w:tcW w:w="180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2314,9</w:t>
            </w:r>
          </w:p>
        </w:tc>
        <w:tc>
          <w:tcPr>
            <w:tcW w:w="1939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2513</w:t>
            </w:r>
          </w:p>
        </w:tc>
        <w:tc>
          <w:tcPr>
            <w:tcW w:w="91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-</w:t>
            </w:r>
          </w:p>
        </w:tc>
      </w:tr>
      <w:tr w:rsidR="00BF7DCB" w:rsidRPr="00DA5D0D">
        <w:trPr>
          <w:trHeight w:val="701"/>
        </w:trPr>
        <w:tc>
          <w:tcPr>
            <w:tcW w:w="2714" w:type="dxa"/>
          </w:tcPr>
          <w:p w:rsidR="00BF7DCB" w:rsidRPr="0086747A" w:rsidRDefault="00BF7DCB" w:rsidP="00990CFE">
            <w:pPr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Внедрение 4 очереди ИСОГД</w:t>
            </w:r>
          </w:p>
        </w:tc>
        <w:tc>
          <w:tcPr>
            <w:tcW w:w="994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2 очередь</w:t>
            </w:r>
          </w:p>
        </w:tc>
        <w:tc>
          <w:tcPr>
            <w:tcW w:w="180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3 очередь</w:t>
            </w:r>
          </w:p>
        </w:tc>
        <w:tc>
          <w:tcPr>
            <w:tcW w:w="1939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4 очередь</w:t>
            </w:r>
          </w:p>
        </w:tc>
        <w:tc>
          <w:tcPr>
            <w:tcW w:w="91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4 очередь</w:t>
            </w:r>
          </w:p>
        </w:tc>
        <w:tc>
          <w:tcPr>
            <w:tcW w:w="1670" w:type="dxa"/>
          </w:tcPr>
          <w:p w:rsidR="00BF7DCB" w:rsidRPr="0086747A" w:rsidRDefault="00BF7DCB" w:rsidP="007F761A">
            <w:pPr>
              <w:ind w:firstLine="0"/>
              <w:rPr>
                <w:sz w:val="22"/>
                <w:szCs w:val="22"/>
              </w:rPr>
            </w:pPr>
            <w:r w:rsidRPr="0086747A">
              <w:rPr>
                <w:sz w:val="22"/>
                <w:szCs w:val="22"/>
              </w:rPr>
              <w:t>4 очередь</w:t>
            </w:r>
          </w:p>
        </w:tc>
      </w:tr>
    </w:tbl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Pr="00C3401C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C3401C">
        <w:rPr>
          <w:b/>
          <w:bCs/>
        </w:rPr>
        <w:t>V. Объемы бюджетных ассигнований за счет всех источников</w:t>
      </w:r>
    </w:p>
    <w:p w:rsidR="00BF7DCB" w:rsidRPr="00C3401C" w:rsidRDefault="00BF7DCB" w:rsidP="000844E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C3401C">
        <w:rPr>
          <w:b/>
          <w:bCs/>
        </w:rPr>
        <w:t>финансирования и по годам реализации муниципальной программы</w:t>
      </w:r>
    </w:p>
    <w:p w:rsidR="00BF7DCB" w:rsidRDefault="00BF7DCB" w:rsidP="00E04CDF">
      <w:pPr>
        <w:autoSpaceDE w:val="0"/>
        <w:autoSpaceDN w:val="0"/>
        <w:adjustRightInd w:val="0"/>
        <w:ind w:firstLine="720"/>
      </w:pPr>
    </w:p>
    <w:p w:rsidR="00BF7DCB" w:rsidRDefault="00BF7DCB" w:rsidP="00E04CDF">
      <w:pPr>
        <w:autoSpaceDE w:val="0"/>
        <w:autoSpaceDN w:val="0"/>
        <w:adjustRightInd w:val="0"/>
        <w:ind w:firstLine="720"/>
      </w:pPr>
      <w:r w:rsidRPr="00E04CDF">
        <w:t xml:space="preserve">Финансовое обеспечение реализации муниципальной программы в части расходных обязательств Республики Бурятия осуществляется за счет бюджетных ассигнований республиканского бюджета. </w:t>
      </w:r>
    </w:p>
    <w:p w:rsidR="00BF7DCB" w:rsidRPr="00E04CDF" w:rsidRDefault="00BF7DCB" w:rsidP="00E04CDF">
      <w:pPr>
        <w:autoSpaceDE w:val="0"/>
        <w:autoSpaceDN w:val="0"/>
        <w:adjustRightInd w:val="0"/>
        <w:ind w:firstLine="720"/>
      </w:pPr>
      <w:r w:rsidRPr="00E04CDF">
        <w:t>Распределение бюджетных ассигнований на реализацию муниципальной программы утверждается решением Совета депутатов МО «Кабанский район» о бюджете МО «Кабанский район» на очередной финансовый год и плановый период.</w:t>
      </w:r>
    </w:p>
    <w:p w:rsidR="00BF7DCB" w:rsidRDefault="00BF7DCB" w:rsidP="000844EC">
      <w:pPr>
        <w:autoSpaceDE w:val="0"/>
        <w:autoSpaceDN w:val="0"/>
        <w:adjustRightInd w:val="0"/>
        <w:ind w:firstLine="0"/>
        <w:jc w:val="right"/>
        <w:outlineLvl w:val="1"/>
        <w:rPr>
          <w:sz w:val="24"/>
          <w:szCs w:val="24"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right"/>
        <w:outlineLvl w:val="1"/>
        <w:rPr>
          <w:sz w:val="24"/>
          <w:szCs w:val="24"/>
        </w:rPr>
      </w:pPr>
    </w:p>
    <w:p w:rsidR="00BF7DCB" w:rsidRPr="00EF5125" w:rsidRDefault="00BF7DCB" w:rsidP="00990CF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5125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010"/>
        <w:gridCol w:w="1608"/>
        <w:gridCol w:w="4155"/>
      </w:tblGrid>
      <w:tr w:rsidR="00BF7DCB" w:rsidRPr="00EF5125">
        <w:tc>
          <w:tcPr>
            <w:tcW w:w="1928" w:type="dxa"/>
            <w:vMerge w:val="restart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73" w:type="dxa"/>
            <w:gridSpan w:val="3"/>
          </w:tcPr>
          <w:p w:rsidR="00BF7DCB" w:rsidRPr="00EF5125" w:rsidRDefault="00BF7DCB" w:rsidP="00717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местного бюджета по годам:</w:t>
            </w:r>
          </w:p>
        </w:tc>
      </w:tr>
      <w:tr w:rsidR="00BF7DCB" w:rsidRPr="00EF5125">
        <w:tc>
          <w:tcPr>
            <w:tcW w:w="1928" w:type="dxa"/>
            <w:vMerge/>
          </w:tcPr>
          <w:p w:rsidR="00BF7DCB" w:rsidRPr="00EF5125" w:rsidRDefault="00BF7DCB" w:rsidP="00717BD8"/>
        </w:tc>
        <w:tc>
          <w:tcPr>
            <w:tcW w:w="7773" w:type="dxa"/>
            <w:gridSpan w:val="3"/>
          </w:tcPr>
          <w:p w:rsidR="00BF7DCB" w:rsidRPr="00EF5125" w:rsidRDefault="00BF7DCB" w:rsidP="00717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прогнозный период</w:t>
            </w:r>
          </w:p>
        </w:tc>
      </w:tr>
      <w:tr w:rsidR="00BF7DCB" w:rsidRPr="00EF5125">
        <w:tc>
          <w:tcPr>
            <w:tcW w:w="1928" w:type="dxa"/>
            <w:vMerge/>
          </w:tcPr>
          <w:p w:rsidR="00BF7DCB" w:rsidRPr="00EF5125" w:rsidRDefault="00BF7DCB" w:rsidP="00717BD8"/>
        </w:tc>
        <w:tc>
          <w:tcPr>
            <w:tcW w:w="2010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608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55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BF7DCB" w:rsidRPr="00EF5125">
        <w:tc>
          <w:tcPr>
            <w:tcW w:w="1928" w:type="dxa"/>
          </w:tcPr>
          <w:p w:rsidR="00BF7DCB" w:rsidRPr="00EF5125" w:rsidRDefault="00BF7DCB" w:rsidP="00990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1. Подпрограмма " Управление имуществом "</w:t>
            </w:r>
          </w:p>
        </w:tc>
        <w:tc>
          <w:tcPr>
            <w:tcW w:w="2010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608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4155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F7DCB" w:rsidRPr="00EF5125">
        <w:tc>
          <w:tcPr>
            <w:tcW w:w="1928" w:type="dxa"/>
          </w:tcPr>
          <w:p w:rsidR="00BF7DCB" w:rsidRPr="00EF5125" w:rsidRDefault="00BF7DCB" w:rsidP="00990C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CB" w:rsidRPr="00EF5125">
        <w:tc>
          <w:tcPr>
            <w:tcW w:w="1928" w:type="dxa"/>
          </w:tcPr>
          <w:p w:rsidR="00BF7DCB" w:rsidRPr="00EF5125" w:rsidRDefault="00BF7DCB" w:rsidP="00990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2. Подпрограмма " Комплексная жилая застройка на территории МО «Кабанский район "</w:t>
            </w:r>
          </w:p>
        </w:tc>
        <w:tc>
          <w:tcPr>
            <w:tcW w:w="2010" w:type="dxa"/>
          </w:tcPr>
          <w:p w:rsidR="00BF7DCB" w:rsidRPr="00EF5125" w:rsidRDefault="00BF7DCB" w:rsidP="00990CFE">
            <w:pPr>
              <w:jc w:val="left"/>
            </w:pPr>
            <w:r w:rsidRPr="00EF5125">
              <w:t xml:space="preserve">7758, 86 </w:t>
            </w:r>
          </w:p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13308,67</w:t>
            </w:r>
          </w:p>
        </w:tc>
        <w:tc>
          <w:tcPr>
            <w:tcW w:w="4155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13279,84</w:t>
            </w:r>
          </w:p>
        </w:tc>
      </w:tr>
      <w:tr w:rsidR="00BF7DCB" w:rsidRPr="00EF5125">
        <w:tc>
          <w:tcPr>
            <w:tcW w:w="1928" w:type="dxa"/>
          </w:tcPr>
          <w:p w:rsidR="00BF7DCB" w:rsidRPr="00EF5125" w:rsidRDefault="00BF7DCB" w:rsidP="00717B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10" w:type="dxa"/>
          </w:tcPr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8038,86</w:t>
            </w:r>
          </w:p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13603,67</w:t>
            </w:r>
          </w:p>
          <w:p w:rsidR="00BF7DCB" w:rsidRPr="00EF5125" w:rsidRDefault="00BF7DCB" w:rsidP="00990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BF7DCB" w:rsidRPr="00EF5125" w:rsidRDefault="00BF7DCB" w:rsidP="00990C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125">
              <w:rPr>
                <w:rFonts w:ascii="Times New Roman" w:hAnsi="Times New Roman" w:cs="Times New Roman"/>
                <w:sz w:val="28"/>
                <w:szCs w:val="28"/>
              </w:rPr>
              <w:t>13579,84</w:t>
            </w:r>
          </w:p>
        </w:tc>
      </w:tr>
    </w:tbl>
    <w:p w:rsidR="00BF7DCB" w:rsidRPr="00EF5125" w:rsidRDefault="00BF7DCB" w:rsidP="001D6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DCB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</w:p>
    <w:p w:rsidR="00BF7DCB" w:rsidRPr="00687B51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687B51">
        <w:rPr>
          <w:b/>
          <w:bCs/>
        </w:rPr>
        <w:t>VI. Правовое регулирование Программы</w:t>
      </w:r>
    </w:p>
    <w:p w:rsidR="00BF7DCB" w:rsidRPr="00687B51" w:rsidRDefault="00BF7DCB" w:rsidP="000844EC">
      <w:pPr>
        <w:autoSpaceDE w:val="0"/>
        <w:autoSpaceDN w:val="0"/>
        <w:adjustRightInd w:val="0"/>
        <w:ind w:firstLine="0"/>
      </w:pPr>
    </w:p>
    <w:p w:rsidR="00BF7DCB" w:rsidRPr="00687B51" w:rsidRDefault="00BF7DCB" w:rsidP="00687B51">
      <w:pPr>
        <w:autoSpaceDE w:val="0"/>
        <w:autoSpaceDN w:val="0"/>
        <w:adjustRightInd w:val="0"/>
        <w:ind w:firstLine="720"/>
      </w:pPr>
      <w:r w:rsidRPr="00687B51">
        <w:lastRenderedPageBreak/>
        <w:t xml:space="preserve">Совершенствование нормативной правовой базы </w:t>
      </w:r>
      <w:r>
        <w:t>МО «Кабанский район»</w:t>
      </w:r>
      <w:r w:rsidRPr="00687B51">
        <w:t xml:space="preserve"> является важнейшим условием обеспечения реализации программных мероприятий.</w:t>
      </w:r>
    </w:p>
    <w:p w:rsidR="00BF7DCB" w:rsidRPr="00687B51" w:rsidRDefault="00BF7DCB" w:rsidP="00687B51">
      <w:pPr>
        <w:autoSpaceDE w:val="0"/>
        <w:autoSpaceDN w:val="0"/>
        <w:adjustRightInd w:val="0"/>
        <w:ind w:firstLine="720"/>
      </w:pPr>
      <w:r w:rsidRPr="00687B51">
        <w:t xml:space="preserve">В рамках </w:t>
      </w:r>
      <w:r>
        <w:t>муниципаль</w:t>
      </w:r>
      <w:r w:rsidRPr="00687B51">
        <w:t>ной программы предусматривается совершенствование нормативной правовой базы с учетом изменений федерального законодательства, законодательства Республики Бурятия. Основными направлениями совершенствования нормативной правовой базы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BF7DCB" w:rsidRPr="00CD403C" w:rsidRDefault="00BF7DCB" w:rsidP="00CD403C">
      <w:pPr>
        <w:autoSpaceDE w:val="0"/>
        <w:autoSpaceDN w:val="0"/>
        <w:adjustRightInd w:val="0"/>
        <w:ind w:firstLine="720"/>
      </w:pPr>
      <w:r w:rsidRPr="00CD403C">
        <w:t xml:space="preserve">Кроме того, будет проводиться работа по нормативно-правовому оформлению новых механизмов привлечения инвестиций: государственно-частных партнерств, формированию инвестиционных площадок на территории </w:t>
      </w:r>
      <w:r>
        <w:t>района</w:t>
      </w:r>
      <w:r w:rsidRPr="00CD403C">
        <w:t>, созданию новых институциональных структур в инвестиционной сфере.</w:t>
      </w:r>
    </w:p>
    <w:p w:rsidR="00BF7DCB" w:rsidRPr="00CD403C" w:rsidRDefault="00BF7DCB" w:rsidP="00CD403C">
      <w:pPr>
        <w:autoSpaceDE w:val="0"/>
        <w:autoSpaceDN w:val="0"/>
        <w:adjustRightInd w:val="0"/>
        <w:ind w:firstLine="720"/>
      </w:pPr>
      <w:r w:rsidRPr="00CD403C">
        <w:t>Формирование нормативной правовой базы в сфере развития механизмов государственно-частного партнерства направлено на создание условий для привлечения частных инвестиций на реализацию общественно значимых проектов в сферах туризма, транспортной, инженерной инфраструктуры, что позволит экономить бюджетные средства, разделить ответственность между государством и бизнесом за функционирование объектов, обеспечить внедрение передовых технологий в развитие инфраструктуры.</w:t>
      </w:r>
    </w:p>
    <w:p w:rsidR="00BF7DCB" w:rsidRPr="00CD403C" w:rsidRDefault="00BF7DCB" w:rsidP="00CD403C">
      <w:pPr>
        <w:autoSpaceDE w:val="0"/>
        <w:autoSpaceDN w:val="0"/>
        <w:adjustRightInd w:val="0"/>
        <w:ind w:firstLine="720"/>
      </w:pPr>
      <w:r w:rsidRPr="00CD403C">
        <w:t xml:space="preserve">Оптимизация и упрощение процедур получения </w:t>
      </w:r>
      <w:r>
        <w:t>муниципаль</w:t>
      </w:r>
      <w:r w:rsidRPr="00CD403C">
        <w:t>ной поддержки</w:t>
      </w:r>
      <w:r>
        <w:t>, в том числе в Фонде поддержки малого предпринимательства МО «Кабанский район»</w:t>
      </w:r>
      <w:r w:rsidRPr="00CD403C">
        <w:t xml:space="preserve">, снижение административных барьеров при ее получении, повышение эффективности </w:t>
      </w:r>
      <w:r>
        <w:t>оказываем</w:t>
      </w:r>
      <w:r w:rsidRPr="00CD403C">
        <w:t xml:space="preserve">ой поддержки будет достигаться за счет совершенствования нормативных правовых актов, регламентирующих процесс предоставления различных форм </w:t>
      </w:r>
      <w:r>
        <w:t>муниципальной поддержки</w:t>
      </w:r>
      <w:r w:rsidRPr="00CD403C">
        <w:t>.</w:t>
      </w:r>
    </w:p>
    <w:p w:rsidR="00BF7DCB" w:rsidRDefault="00BF7DCB" w:rsidP="00CD403C">
      <w:pPr>
        <w:autoSpaceDE w:val="0"/>
        <w:autoSpaceDN w:val="0"/>
        <w:adjustRightInd w:val="0"/>
        <w:ind w:firstLine="720"/>
      </w:pPr>
    </w:p>
    <w:p w:rsidR="00BF7DCB" w:rsidRPr="00D811FE" w:rsidRDefault="00BF7DCB" w:rsidP="00CD403C">
      <w:pPr>
        <w:autoSpaceDE w:val="0"/>
        <w:autoSpaceDN w:val="0"/>
        <w:adjustRightInd w:val="0"/>
        <w:ind w:firstLine="720"/>
      </w:pPr>
    </w:p>
    <w:p w:rsidR="00BF7DCB" w:rsidRPr="00687B51" w:rsidRDefault="00BF7DCB" w:rsidP="000844EC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687B51">
        <w:rPr>
          <w:b/>
          <w:bCs/>
        </w:rPr>
        <w:t>VII. Меры государственного регулирования и анализ рисков</w:t>
      </w:r>
    </w:p>
    <w:p w:rsidR="00BF7DCB" w:rsidRPr="00687B51" w:rsidRDefault="00BF7DCB" w:rsidP="000844E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687B51">
        <w:rPr>
          <w:b/>
          <w:bCs/>
        </w:rPr>
        <w:t>реализации муниципальной программы</w:t>
      </w:r>
    </w:p>
    <w:p w:rsidR="00BF7DCB" w:rsidRPr="00D811FE" w:rsidRDefault="00BF7DCB" w:rsidP="000844EC">
      <w:pPr>
        <w:autoSpaceDE w:val="0"/>
        <w:autoSpaceDN w:val="0"/>
        <w:adjustRightInd w:val="0"/>
        <w:ind w:firstLine="0"/>
      </w:pPr>
    </w:p>
    <w:p w:rsidR="00BF7DCB" w:rsidRPr="00D811FE" w:rsidRDefault="00BF7DCB" w:rsidP="00D811FE">
      <w:pPr>
        <w:autoSpaceDE w:val="0"/>
        <w:autoSpaceDN w:val="0"/>
        <w:adjustRightInd w:val="0"/>
        <w:ind w:firstLine="720"/>
      </w:pPr>
      <w:r w:rsidRPr="00D811FE"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BF7DCB" w:rsidRPr="00D811FE" w:rsidRDefault="00BF7DCB" w:rsidP="00D811FE">
      <w:pPr>
        <w:autoSpaceDE w:val="0"/>
        <w:autoSpaceDN w:val="0"/>
        <w:adjustRightInd w:val="0"/>
        <w:ind w:firstLine="720"/>
      </w:pPr>
      <w:r w:rsidRPr="00D811FE"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BF7DCB" w:rsidRPr="00D811FE" w:rsidRDefault="00BF7DCB" w:rsidP="00D811FE">
      <w:pPr>
        <w:autoSpaceDE w:val="0"/>
        <w:autoSpaceDN w:val="0"/>
        <w:adjustRightInd w:val="0"/>
        <w:ind w:firstLine="720"/>
      </w:pPr>
      <w:r w:rsidRPr="00D811FE"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BF7DCB" w:rsidRPr="00D811FE" w:rsidRDefault="00BF7DCB" w:rsidP="00D811FE">
      <w:pPr>
        <w:autoSpaceDE w:val="0"/>
        <w:autoSpaceDN w:val="0"/>
        <w:adjustRightInd w:val="0"/>
        <w:ind w:firstLine="720"/>
      </w:pPr>
      <w:r w:rsidRPr="00D811FE">
        <w:t>- экономические риски, которые могут привести к снижению объема привлекаемых средств и сокращению инвестиций.</w:t>
      </w:r>
    </w:p>
    <w:p w:rsidR="00BF7DCB" w:rsidRPr="00687B51" w:rsidRDefault="00BF7DCB" w:rsidP="00D811FE">
      <w:pPr>
        <w:autoSpaceDE w:val="0"/>
        <w:autoSpaceDN w:val="0"/>
        <w:adjustRightInd w:val="0"/>
        <w:ind w:firstLine="720"/>
      </w:pPr>
      <w:r w:rsidRPr="00687B51">
        <w:lastRenderedPageBreak/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BF7DCB" w:rsidRPr="00687B51" w:rsidRDefault="00BF7DCB" w:rsidP="00D811FE">
      <w:pPr>
        <w:autoSpaceDE w:val="0"/>
        <w:autoSpaceDN w:val="0"/>
        <w:adjustRightInd w:val="0"/>
        <w:ind w:firstLine="720"/>
      </w:pPr>
      <w:r w:rsidRPr="00687B51"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будут приняты следующие меры:</w:t>
      </w:r>
    </w:p>
    <w:p w:rsidR="00BF7DCB" w:rsidRPr="00687B51" w:rsidRDefault="00BF7DCB" w:rsidP="00D811FE">
      <w:pPr>
        <w:autoSpaceDE w:val="0"/>
        <w:autoSpaceDN w:val="0"/>
        <w:adjustRightInd w:val="0"/>
        <w:ind w:firstLine="720"/>
      </w:pPr>
      <w:r w:rsidRPr="00687B51">
        <w:t>- мониторинг реализации муниципальной программы, позволяющий отслеживать выполнение запланированных мероприятий и достижения промежуточных индикаторов;</w:t>
      </w:r>
    </w:p>
    <w:p w:rsidR="00BF7DCB" w:rsidRPr="00687B51" w:rsidRDefault="00BF7DCB" w:rsidP="00D811FE">
      <w:pPr>
        <w:autoSpaceDE w:val="0"/>
        <w:autoSpaceDN w:val="0"/>
        <w:adjustRightInd w:val="0"/>
        <w:ind w:firstLine="720"/>
      </w:pPr>
      <w:r w:rsidRPr="00687B51">
        <w:t>- принятие решений, направленных на достижение эффективного взаимодействия исполнителей и соисполнителей муниципальной программы, а также осуществление контроля качества ее выполнения;</w:t>
      </w:r>
    </w:p>
    <w:p w:rsidR="00BF7DCB" w:rsidRPr="00687B51" w:rsidRDefault="00BF7DCB" w:rsidP="00D811FE">
      <w:pPr>
        <w:autoSpaceDE w:val="0"/>
        <w:autoSpaceDN w:val="0"/>
        <w:adjustRightInd w:val="0"/>
        <w:ind w:firstLine="720"/>
      </w:pPr>
      <w:r w:rsidRPr="00687B51">
        <w:t>- оперативное реагирование на изменения факторов внешней и внутренней среды и внесение соответствующих корректировок в муниципальную программу.</w:t>
      </w:r>
    </w:p>
    <w:p w:rsidR="00BF7DCB" w:rsidRPr="00D811FE" w:rsidRDefault="00BF7DCB" w:rsidP="00D811FE">
      <w:pPr>
        <w:autoSpaceDE w:val="0"/>
        <w:autoSpaceDN w:val="0"/>
        <w:adjustRightInd w:val="0"/>
        <w:ind w:firstLine="720"/>
      </w:pPr>
      <w:r w:rsidRPr="00687B51">
        <w:t>Принятие данных мер по управлению рисками осуществляется в процессе мониторинга реализации муниципальной программы и оценки ее эффективности и результативности.</w:t>
      </w:r>
    </w:p>
    <w:p w:rsidR="00BF7DCB" w:rsidRPr="00D811FE" w:rsidRDefault="00BF7DCB" w:rsidP="00D811FE">
      <w:pPr>
        <w:ind w:firstLine="720"/>
      </w:pPr>
    </w:p>
    <w:sectPr w:rsidR="00BF7DCB" w:rsidRPr="00D811FE" w:rsidSect="00276528"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CB" w:rsidRDefault="00BF7DCB" w:rsidP="00B25A3C">
      <w:r>
        <w:separator/>
      </w:r>
    </w:p>
  </w:endnote>
  <w:endnote w:type="continuationSeparator" w:id="0">
    <w:p w:rsidR="00BF7DCB" w:rsidRDefault="00BF7DCB" w:rsidP="00B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CB" w:rsidRDefault="00BF7DCB" w:rsidP="00451308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6919">
      <w:rPr>
        <w:rStyle w:val="a8"/>
        <w:noProof/>
      </w:rPr>
      <w:t>13</w:t>
    </w:r>
    <w:r>
      <w:rPr>
        <w:rStyle w:val="a8"/>
      </w:rPr>
      <w:fldChar w:fldCharType="end"/>
    </w:r>
  </w:p>
  <w:p w:rsidR="00BF7DCB" w:rsidRDefault="00BF7DCB" w:rsidP="0001707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CB" w:rsidRDefault="00BF7DCB" w:rsidP="00B25A3C">
      <w:r>
        <w:separator/>
      </w:r>
    </w:p>
  </w:footnote>
  <w:footnote w:type="continuationSeparator" w:id="0">
    <w:p w:rsidR="00BF7DCB" w:rsidRDefault="00BF7DCB" w:rsidP="00B2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FB68E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F1DAA"/>
    <w:multiLevelType w:val="multilevel"/>
    <w:tmpl w:val="D91ECB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08C11680"/>
    <w:multiLevelType w:val="multilevel"/>
    <w:tmpl w:val="E430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3683FB7"/>
    <w:multiLevelType w:val="hybridMultilevel"/>
    <w:tmpl w:val="5998A188"/>
    <w:lvl w:ilvl="0" w:tplc="A4A6140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53A0C80"/>
    <w:multiLevelType w:val="hybridMultilevel"/>
    <w:tmpl w:val="AFA608B6"/>
    <w:lvl w:ilvl="0" w:tplc="27CAF3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>
    <w:nsid w:val="547F53C9"/>
    <w:multiLevelType w:val="hybridMultilevel"/>
    <w:tmpl w:val="6D024D22"/>
    <w:lvl w:ilvl="0" w:tplc="07EC5E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4E3D59"/>
    <w:multiLevelType w:val="multilevel"/>
    <w:tmpl w:val="8FE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46B0276"/>
    <w:multiLevelType w:val="hybridMultilevel"/>
    <w:tmpl w:val="0BF05C9A"/>
    <w:lvl w:ilvl="0" w:tplc="1A40802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6C1211"/>
    <w:multiLevelType w:val="multilevel"/>
    <w:tmpl w:val="B88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93D6C20"/>
    <w:multiLevelType w:val="hybridMultilevel"/>
    <w:tmpl w:val="C4FC9AA0"/>
    <w:lvl w:ilvl="0" w:tplc="09542EA6">
      <w:start w:val="1"/>
      <w:numFmt w:val="decimal"/>
      <w:pStyle w:val="a0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A6C5DF1"/>
    <w:multiLevelType w:val="hybridMultilevel"/>
    <w:tmpl w:val="1EC86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4211"/>
    <w:multiLevelType w:val="hybridMultilevel"/>
    <w:tmpl w:val="EFA8B2CA"/>
    <w:lvl w:ilvl="0" w:tplc="C0AC2E06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1"/>
  </w:num>
  <w:num w:numId="14">
    <w:abstractNumId w:val="3"/>
  </w:num>
  <w:num w:numId="15">
    <w:abstractNumId w:val="11"/>
  </w:num>
  <w:num w:numId="16">
    <w:abstractNumId w:val="4"/>
  </w:num>
  <w:num w:numId="17">
    <w:abstractNumId w:val="5"/>
  </w:num>
  <w:num w:numId="18">
    <w:abstractNumId w:val="10"/>
  </w:num>
  <w:num w:numId="19">
    <w:abstractNumId w:val="9"/>
  </w:num>
  <w:num w:numId="20">
    <w:abstractNumId w:val="2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F00"/>
    <w:rsid w:val="000015D1"/>
    <w:rsid w:val="0000329E"/>
    <w:rsid w:val="00003DFC"/>
    <w:rsid w:val="00017077"/>
    <w:rsid w:val="0001750A"/>
    <w:rsid w:val="00026BBA"/>
    <w:rsid w:val="00031A55"/>
    <w:rsid w:val="00036BF5"/>
    <w:rsid w:val="00037327"/>
    <w:rsid w:val="0004060B"/>
    <w:rsid w:val="00047BDD"/>
    <w:rsid w:val="00050C77"/>
    <w:rsid w:val="000517E6"/>
    <w:rsid w:val="00052800"/>
    <w:rsid w:val="0005307E"/>
    <w:rsid w:val="00062DB4"/>
    <w:rsid w:val="00065DE7"/>
    <w:rsid w:val="00075620"/>
    <w:rsid w:val="000811C5"/>
    <w:rsid w:val="000844EC"/>
    <w:rsid w:val="000876E7"/>
    <w:rsid w:val="00097C2E"/>
    <w:rsid w:val="000A4FEC"/>
    <w:rsid w:val="000A6E14"/>
    <w:rsid w:val="000B3464"/>
    <w:rsid w:val="000C41E2"/>
    <w:rsid w:val="000C4298"/>
    <w:rsid w:val="000C534A"/>
    <w:rsid w:val="000D477B"/>
    <w:rsid w:val="000D60D2"/>
    <w:rsid w:val="000D6794"/>
    <w:rsid w:val="000D6F69"/>
    <w:rsid w:val="000E72CA"/>
    <w:rsid w:val="000F1B19"/>
    <w:rsid w:val="000F22A9"/>
    <w:rsid w:val="000F3C23"/>
    <w:rsid w:val="001009FF"/>
    <w:rsid w:val="00112854"/>
    <w:rsid w:val="001159A8"/>
    <w:rsid w:val="001218F6"/>
    <w:rsid w:val="00121C05"/>
    <w:rsid w:val="00124D09"/>
    <w:rsid w:val="00132711"/>
    <w:rsid w:val="001327CD"/>
    <w:rsid w:val="00134A6D"/>
    <w:rsid w:val="00141251"/>
    <w:rsid w:val="00160D54"/>
    <w:rsid w:val="00160FB4"/>
    <w:rsid w:val="00164A79"/>
    <w:rsid w:val="00165504"/>
    <w:rsid w:val="001663B0"/>
    <w:rsid w:val="001669B6"/>
    <w:rsid w:val="00173789"/>
    <w:rsid w:val="0017407D"/>
    <w:rsid w:val="001838E4"/>
    <w:rsid w:val="00184CC5"/>
    <w:rsid w:val="00187A57"/>
    <w:rsid w:val="00195770"/>
    <w:rsid w:val="00196103"/>
    <w:rsid w:val="001A1825"/>
    <w:rsid w:val="001B2DA3"/>
    <w:rsid w:val="001B306B"/>
    <w:rsid w:val="001C1779"/>
    <w:rsid w:val="001C4AB0"/>
    <w:rsid w:val="001D24D0"/>
    <w:rsid w:val="001D4AD6"/>
    <w:rsid w:val="001D4B83"/>
    <w:rsid w:val="001D69B7"/>
    <w:rsid w:val="001D700D"/>
    <w:rsid w:val="001E2BA4"/>
    <w:rsid w:val="001F2F12"/>
    <w:rsid w:val="002024E5"/>
    <w:rsid w:val="00204243"/>
    <w:rsid w:val="00211687"/>
    <w:rsid w:val="0022062B"/>
    <w:rsid w:val="00221DDE"/>
    <w:rsid w:val="0022286F"/>
    <w:rsid w:val="00225FA8"/>
    <w:rsid w:val="00240F93"/>
    <w:rsid w:val="00241343"/>
    <w:rsid w:val="002453B0"/>
    <w:rsid w:val="0025217C"/>
    <w:rsid w:val="002649BA"/>
    <w:rsid w:val="00264ED0"/>
    <w:rsid w:val="00276528"/>
    <w:rsid w:val="00282F89"/>
    <w:rsid w:val="00284BFE"/>
    <w:rsid w:val="0028519E"/>
    <w:rsid w:val="00287E98"/>
    <w:rsid w:val="00290B3A"/>
    <w:rsid w:val="00290B53"/>
    <w:rsid w:val="002950B9"/>
    <w:rsid w:val="00295DF5"/>
    <w:rsid w:val="00297502"/>
    <w:rsid w:val="0029759F"/>
    <w:rsid w:val="002A226E"/>
    <w:rsid w:val="002A74B8"/>
    <w:rsid w:val="002B1FAD"/>
    <w:rsid w:val="002B6290"/>
    <w:rsid w:val="002C11C9"/>
    <w:rsid w:val="002D1229"/>
    <w:rsid w:val="002D18D5"/>
    <w:rsid w:val="002D29B7"/>
    <w:rsid w:val="002D66CA"/>
    <w:rsid w:val="002D6BCC"/>
    <w:rsid w:val="002D6DA1"/>
    <w:rsid w:val="002E08C7"/>
    <w:rsid w:val="002E34DD"/>
    <w:rsid w:val="002E39F6"/>
    <w:rsid w:val="002E64FD"/>
    <w:rsid w:val="00307512"/>
    <w:rsid w:val="00316D2D"/>
    <w:rsid w:val="00320E99"/>
    <w:rsid w:val="00324276"/>
    <w:rsid w:val="003322EA"/>
    <w:rsid w:val="00335421"/>
    <w:rsid w:val="00337B79"/>
    <w:rsid w:val="0034394C"/>
    <w:rsid w:val="003447BC"/>
    <w:rsid w:val="003505FB"/>
    <w:rsid w:val="003723E2"/>
    <w:rsid w:val="003738FF"/>
    <w:rsid w:val="00373A36"/>
    <w:rsid w:val="003744CB"/>
    <w:rsid w:val="00387CC9"/>
    <w:rsid w:val="003A33F2"/>
    <w:rsid w:val="003A4FA8"/>
    <w:rsid w:val="003A54AF"/>
    <w:rsid w:val="003A5CF3"/>
    <w:rsid w:val="003A7F92"/>
    <w:rsid w:val="003B1090"/>
    <w:rsid w:val="003B4851"/>
    <w:rsid w:val="003C06B2"/>
    <w:rsid w:val="003C3896"/>
    <w:rsid w:val="003D5BF6"/>
    <w:rsid w:val="003D6CAD"/>
    <w:rsid w:val="003F0A62"/>
    <w:rsid w:val="00402047"/>
    <w:rsid w:val="0040647F"/>
    <w:rsid w:val="0041302F"/>
    <w:rsid w:val="00414F53"/>
    <w:rsid w:val="00417B50"/>
    <w:rsid w:val="00422A16"/>
    <w:rsid w:val="00425D5B"/>
    <w:rsid w:val="00436667"/>
    <w:rsid w:val="00444A00"/>
    <w:rsid w:val="00451308"/>
    <w:rsid w:val="004629F7"/>
    <w:rsid w:val="0046544A"/>
    <w:rsid w:val="00475E80"/>
    <w:rsid w:val="004939F1"/>
    <w:rsid w:val="00496795"/>
    <w:rsid w:val="00497861"/>
    <w:rsid w:val="00497868"/>
    <w:rsid w:val="004A0EC4"/>
    <w:rsid w:val="004B0921"/>
    <w:rsid w:val="004B1DA6"/>
    <w:rsid w:val="004B5B5B"/>
    <w:rsid w:val="004D03F5"/>
    <w:rsid w:val="004E18B9"/>
    <w:rsid w:val="004E32DF"/>
    <w:rsid w:val="004E7D68"/>
    <w:rsid w:val="00502C7F"/>
    <w:rsid w:val="0050693D"/>
    <w:rsid w:val="00506B17"/>
    <w:rsid w:val="0051417D"/>
    <w:rsid w:val="00514F00"/>
    <w:rsid w:val="0051652B"/>
    <w:rsid w:val="00524BC5"/>
    <w:rsid w:val="00526D74"/>
    <w:rsid w:val="0053372F"/>
    <w:rsid w:val="0054210A"/>
    <w:rsid w:val="00544A7B"/>
    <w:rsid w:val="005711E9"/>
    <w:rsid w:val="00573A78"/>
    <w:rsid w:val="0057401D"/>
    <w:rsid w:val="00574AD3"/>
    <w:rsid w:val="005753C4"/>
    <w:rsid w:val="0058622D"/>
    <w:rsid w:val="00586E6F"/>
    <w:rsid w:val="00591949"/>
    <w:rsid w:val="00595ECE"/>
    <w:rsid w:val="005971BF"/>
    <w:rsid w:val="005B0446"/>
    <w:rsid w:val="005B536B"/>
    <w:rsid w:val="005B6291"/>
    <w:rsid w:val="005C2C77"/>
    <w:rsid w:val="005C607D"/>
    <w:rsid w:val="005C6088"/>
    <w:rsid w:val="005D03DA"/>
    <w:rsid w:val="005D1998"/>
    <w:rsid w:val="005E1ECE"/>
    <w:rsid w:val="005E309D"/>
    <w:rsid w:val="005E67B4"/>
    <w:rsid w:val="005E7690"/>
    <w:rsid w:val="0060113B"/>
    <w:rsid w:val="006015BF"/>
    <w:rsid w:val="00605283"/>
    <w:rsid w:val="00612FF0"/>
    <w:rsid w:val="0061486E"/>
    <w:rsid w:val="006249B4"/>
    <w:rsid w:val="00630052"/>
    <w:rsid w:val="006452B3"/>
    <w:rsid w:val="00647CCF"/>
    <w:rsid w:val="006508FE"/>
    <w:rsid w:val="00652A80"/>
    <w:rsid w:val="00652E05"/>
    <w:rsid w:val="00656476"/>
    <w:rsid w:val="00662FD3"/>
    <w:rsid w:val="00663CBA"/>
    <w:rsid w:val="006679F8"/>
    <w:rsid w:val="00672C95"/>
    <w:rsid w:val="006749B5"/>
    <w:rsid w:val="006772AA"/>
    <w:rsid w:val="006824E5"/>
    <w:rsid w:val="00682706"/>
    <w:rsid w:val="00687B51"/>
    <w:rsid w:val="006926EE"/>
    <w:rsid w:val="006A1631"/>
    <w:rsid w:val="006A3046"/>
    <w:rsid w:val="006A3AF8"/>
    <w:rsid w:val="006A7706"/>
    <w:rsid w:val="006B1F82"/>
    <w:rsid w:val="006C3559"/>
    <w:rsid w:val="006D122C"/>
    <w:rsid w:val="006D4071"/>
    <w:rsid w:val="006D7D0B"/>
    <w:rsid w:val="006E009F"/>
    <w:rsid w:val="006E3472"/>
    <w:rsid w:val="006E7D22"/>
    <w:rsid w:val="006F7540"/>
    <w:rsid w:val="00700A2E"/>
    <w:rsid w:val="00706474"/>
    <w:rsid w:val="0070668F"/>
    <w:rsid w:val="00714378"/>
    <w:rsid w:val="00714591"/>
    <w:rsid w:val="00716805"/>
    <w:rsid w:val="00717BD8"/>
    <w:rsid w:val="00723A09"/>
    <w:rsid w:val="00724022"/>
    <w:rsid w:val="007261DC"/>
    <w:rsid w:val="00731D4F"/>
    <w:rsid w:val="00736E94"/>
    <w:rsid w:val="00743A6B"/>
    <w:rsid w:val="007504F0"/>
    <w:rsid w:val="007518BC"/>
    <w:rsid w:val="00754CF3"/>
    <w:rsid w:val="00754DE0"/>
    <w:rsid w:val="00755436"/>
    <w:rsid w:val="007566E2"/>
    <w:rsid w:val="00770EB1"/>
    <w:rsid w:val="007736B3"/>
    <w:rsid w:val="00773A1A"/>
    <w:rsid w:val="00776B68"/>
    <w:rsid w:val="007825FA"/>
    <w:rsid w:val="00785997"/>
    <w:rsid w:val="00787F82"/>
    <w:rsid w:val="00790696"/>
    <w:rsid w:val="0079122A"/>
    <w:rsid w:val="007937B3"/>
    <w:rsid w:val="00795439"/>
    <w:rsid w:val="00797C08"/>
    <w:rsid w:val="007A1016"/>
    <w:rsid w:val="007B11D5"/>
    <w:rsid w:val="007B2176"/>
    <w:rsid w:val="007C1BC0"/>
    <w:rsid w:val="007C211A"/>
    <w:rsid w:val="007C6B1D"/>
    <w:rsid w:val="007D4D04"/>
    <w:rsid w:val="007D642B"/>
    <w:rsid w:val="007E22C8"/>
    <w:rsid w:val="007F25BE"/>
    <w:rsid w:val="007F761A"/>
    <w:rsid w:val="00800D43"/>
    <w:rsid w:val="0080293A"/>
    <w:rsid w:val="0080741B"/>
    <w:rsid w:val="00816D8B"/>
    <w:rsid w:val="00821E35"/>
    <w:rsid w:val="00835388"/>
    <w:rsid w:val="00842A08"/>
    <w:rsid w:val="0084379D"/>
    <w:rsid w:val="008439A7"/>
    <w:rsid w:val="00853635"/>
    <w:rsid w:val="00856929"/>
    <w:rsid w:val="00860CC2"/>
    <w:rsid w:val="00861709"/>
    <w:rsid w:val="00863932"/>
    <w:rsid w:val="0086747A"/>
    <w:rsid w:val="00873F40"/>
    <w:rsid w:val="00892CA7"/>
    <w:rsid w:val="00897CDF"/>
    <w:rsid w:val="008A4B3A"/>
    <w:rsid w:val="008B1BD3"/>
    <w:rsid w:val="008B5C72"/>
    <w:rsid w:val="008B5DAF"/>
    <w:rsid w:val="008C0211"/>
    <w:rsid w:val="008D3425"/>
    <w:rsid w:val="008D3FE6"/>
    <w:rsid w:val="008E2404"/>
    <w:rsid w:val="008F3D14"/>
    <w:rsid w:val="008F72F3"/>
    <w:rsid w:val="0090650C"/>
    <w:rsid w:val="00911B1B"/>
    <w:rsid w:val="009263C4"/>
    <w:rsid w:val="00930109"/>
    <w:rsid w:val="0093158A"/>
    <w:rsid w:val="00932BFD"/>
    <w:rsid w:val="009375D0"/>
    <w:rsid w:val="00945E09"/>
    <w:rsid w:val="00947603"/>
    <w:rsid w:val="00950FAC"/>
    <w:rsid w:val="009523E9"/>
    <w:rsid w:val="00952ED9"/>
    <w:rsid w:val="00961E33"/>
    <w:rsid w:val="00962347"/>
    <w:rsid w:val="00963A8A"/>
    <w:rsid w:val="009714B6"/>
    <w:rsid w:val="00971A2A"/>
    <w:rsid w:val="00974154"/>
    <w:rsid w:val="009748DE"/>
    <w:rsid w:val="00976E08"/>
    <w:rsid w:val="009833C1"/>
    <w:rsid w:val="00986AAB"/>
    <w:rsid w:val="00990CFE"/>
    <w:rsid w:val="00993EF5"/>
    <w:rsid w:val="009A1E34"/>
    <w:rsid w:val="009A58FA"/>
    <w:rsid w:val="009A6CF0"/>
    <w:rsid w:val="009B07FA"/>
    <w:rsid w:val="009B129A"/>
    <w:rsid w:val="009B43BB"/>
    <w:rsid w:val="009B7132"/>
    <w:rsid w:val="009B7CA0"/>
    <w:rsid w:val="009D144D"/>
    <w:rsid w:val="009E3B45"/>
    <w:rsid w:val="009E4E41"/>
    <w:rsid w:val="009E7280"/>
    <w:rsid w:val="009F097F"/>
    <w:rsid w:val="009F54D1"/>
    <w:rsid w:val="009F672E"/>
    <w:rsid w:val="00A04AD4"/>
    <w:rsid w:val="00A11227"/>
    <w:rsid w:val="00A14134"/>
    <w:rsid w:val="00A16DBD"/>
    <w:rsid w:val="00A22B6E"/>
    <w:rsid w:val="00A26793"/>
    <w:rsid w:val="00A30896"/>
    <w:rsid w:val="00A36540"/>
    <w:rsid w:val="00A42E70"/>
    <w:rsid w:val="00A47B71"/>
    <w:rsid w:val="00A50D63"/>
    <w:rsid w:val="00A50F1C"/>
    <w:rsid w:val="00A57CE7"/>
    <w:rsid w:val="00A73964"/>
    <w:rsid w:val="00A74600"/>
    <w:rsid w:val="00A74BEF"/>
    <w:rsid w:val="00A81BCB"/>
    <w:rsid w:val="00A84078"/>
    <w:rsid w:val="00AA4676"/>
    <w:rsid w:val="00AA4DD4"/>
    <w:rsid w:val="00AB2AE0"/>
    <w:rsid w:val="00AC325A"/>
    <w:rsid w:val="00AC6553"/>
    <w:rsid w:val="00AD6DE0"/>
    <w:rsid w:val="00AE15E8"/>
    <w:rsid w:val="00AE4250"/>
    <w:rsid w:val="00AF4E7D"/>
    <w:rsid w:val="00AF68D1"/>
    <w:rsid w:val="00AF771F"/>
    <w:rsid w:val="00B01C7D"/>
    <w:rsid w:val="00B041A9"/>
    <w:rsid w:val="00B06429"/>
    <w:rsid w:val="00B136F4"/>
    <w:rsid w:val="00B15D4B"/>
    <w:rsid w:val="00B16F4E"/>
    <w:rsid w:val="00B25A3C"/>
    <w:rsid w:val="00B32263"/>
    <w:rsid w:val="00B36A7A"/>
    <w:rsid w:val="00B4258A"/>
    <w:rsid w:val="00B43D3D"/>
    <w:rsid w:val="00B447C2"/>
    <w:rsid w:val="00B45FC9"/>
    <w:rsid w:val="00B527ED"/>
    <w:rsid w:val="00B5389C"/>
    <w:rsid w:val="00B5499A"/>
    <w:rsid w:val="00B56919"/>
    <w:rsid w:val="00B602E1"/>
    <w:rsid w:val="00B647A5"/>
    <w:rsid w:val="00B66988"/>
    <w:rsid w:val="00B672A7"/>
    <w:rsid w:val="00B73815"/>
    <w:rsid w:val="00B7448D"/>
    <w:rsid w:val="00B816EE"/>
    <w:rsid w:val="00B8411C"/>
    <w:rsid w:val="00BA2350"/>
    <w:rsid w:val="00BA6FA4"/>
    <w:rsid w:val="00BC53CE"/>
    <w:rsid w:val="00BD0CB0"/>
    <w:rsid w:val="00BD4C78"/>
    <w:rsid w:val="00BD68C1"/>
    <w:rsid w:val="00BD6C7B"/>
    <w:rsid w:val="00BF3C06"/>
    <w:rsid w:val="00BF5072"/>
    <w:rsid w:val="00BF7DCB"/>
    <w:rsid w:val="00C02C01"/>
    <w:rsid w:val="00C03886"/>
    <w:rsid w:val="00C102F1"/>
    <w:rsid w:val="00C138CF"/>
    <w:rsid w:val="00C3401C"/>
    <w:rsid w:val="00C36466"/>
    <w:rsid w:val="00C36C85"/>
    <w:rsid w:val="00C54B8C"/>
    <w:rsid w:val="00C5570E"/>
    <w:rsid w:val="00C62043"/>
    <w:rsid w:val="00C64AC0"/>
    <w:rsid w:val="00C6630C"/>
    <w:rsid w:val="00C71672"/>
    <w:rsid w:val="00C77E0F"/>
    <w:rsid w:val="00C84C7B"/>
    <w:rsid w:val="00C86448"/>
    <w:rsid w:val="00C8669A"/>
    <w:rsid w:val="00C8761C"/>
    <w:rsid w:val="00C90379"/>
    <w:rsid w:val="00CA0D8B"/>
    <w:rsid w:val="00CA1AB2"/>
    <w:rsid w:val="00CA71EC"/>
    <w:rsid w:val="00CA7B4D"/>
    <w:rsid w:val="00CC0A37"/>
    <w:rsid w:val="00CC5A44"/>
    <w:rsid w:val="00CD403C"/>
    <w:rsid w:val="00CD4303"/>
    <w:rsid w:val="00CD5EF0"/>
    <w:rsid w:val="00CF2CD3"/>
    <w:rsid w:val="00CF33FC"/>
    <w:rsid w:val="00D02D5A"/>
    <w:rsid w:val="00D07414"/>
    <w:rsid w:val="00D12F02"/>
    <w:rsid w:val="00D3085C"/>
    <w:rsid w:val="00D32A70"/>
    <w:rsid w:val="00D32CA0"/>
    <w:rsid w:val="00D33ACB"/>
    <w:rsid w:val="00D34716"/>
    <w:rsid w:val="00D46AC5"/>
    <w:rsid w:val="00D500F2"/>
    <w:rsid w:val="00D61090"/>
    <w:rsid w:val="00D641DA"/>
    <w:rsid w:val="00D766C2"/>
    <w:rsid w:val="00D77489"/>
    <w:rsid w:val="00D811FE"/>
    <w:rsid w:val="00D824EB"/>
    <w:rsid w:val="00D8371B"/>
    <w:rsid w:val="00D845D2"/>
    <w:rsid w:val="00D92288"/>
    <w:rsid w:val="00D92B19"/>
    <w:rsid w:val="00DA5D0D"/>
    <w:rsid w:val="00DB0ADE"/>
    <w:rsid w:val="00DB4329"/>
    <w:rsid w:val="00DC005B"/>
    <w:rsid w:val="00DC0C49"/>
    <w:rsid w:val="00DC5E72"/>
    <w:rsid w:val="00DD1854"/>
    <w:rsid w:val="00DD40F1"/>
    <w:rsid w:val="00DE3B72"/>
    <w:rsid w:val="00DF260B"/>
    <w:rsid w:val="00E00F4C"/>
    <w:rsid w:val="00E0135F"/>
    <w:rsid w:val="00E033C2"/>
    <w:rsid w:val="00E04CDF"/>
    <w:rsid w:val="00E14610"/>
    <w:rsid w:val="00E17923"/>
    <w:rsid w:val="00E24A96"/>
    <w:rsid w:val="00E24E88"/>
    <w:rsid w:val="00E252D6"/>
    <w:rsid w:val="00E33B89"/>
    <w:rsid w:val="00E400DF"/>
    <w:rsid w:val="00E4715C"/>
    <w:rsid w:val="00E5365C"/>
    <w:rsid w:val="00E66DA2"/>
    <w:rsid w:val="00E75898"/>
    <w:rsid w:val="00E8170C"/>
    <w:rsid w:val="00E85322"/>
    <w:rsid w:val="00E87573"/>
    <w:rsid w:val="00E877A9"/>
    <w:rsid w:val="00E9087C"/>
    <w:rsid w:val="00E91DF8"/>
    <w:rsid w:val="00E929F3"/>
    <w:rsid w:val="00E967AC"/>
    <w:rsid w:val="00EA4E7B"/>
    <w:rsid w:val="00EA7546"/>
    <w:rsid w:val="00EB21A9"/>
    <w:rsid w:val="00EB4121"/>
    <w:rsid w:val="00ED25F3"/>
    <w:rsid w:val="00ED426B"/>
    <w:rsid w:val="00EE0AEB"/>
    <w:rsid w:val="00EF444C"/>
    <w:rsid w:val="00EF5125"/>
    <w:rsid w:val="00F0350F"/>
    <w:rsid w:val="00F07814"/>
    <w:rsid w:val="00F11C8C"/>
    <w:rsid w:val="00F1558D"/>
    <w:rsid w:val="00F20937"/>
    <w:rsid w:val="00F264C8"/>
    <w:rsid w:val="00F358A1"/>
    <w:rsid w:val="00F51CF7"/>
    <w:rsid w:val="00F572E9"/>
    <w:rsid w:val="00F6108B"/>
    <w:rsid w:val="00F64AF7"/>
    <w:rsid w:val="00F925B3"/>
    <w:rsid w:val="00F949F6"/>
    <w:rsid w:val="00F96A8A"/>
    <w:rsid w:val="00FA43CC"/>
    <w:rsid w:val="00FA530A"/>
    <w:rsid w:val="00FB6FCB"/>
    <w:rsid w:val="00FC7607"/>
    <w:rsid w:val="00FD52A3"/>
    <w:rsid w:val="00FF038F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4F00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514F00"/>
    <w:pPr>
      <w:keepNext/>
      <w:suppressAutoHyphens/>
      <w:spacing w:before="240" w:after="120"/>
      <w:ind w:left="567" w:right="567" w:firstLine="0"/>
      <w:jc w:val="center"/>
      <w:outlineLvl w:val="0"/>
    </w:pPr>
    <w:rPr>
      <w:b/>
      <w:bCs/>
      <w:spacing w:val="20"/>
    </w:rPr>
  </w:style>
  <w:style w:type="paragraph" w:styleId="3">
    <w:name w:val="heading 3"/>
    <w:basedOn w:val="a1"/>
    <w:next w:val="a1"/>
    <w:link w:val="30"/>
    <w:uiPriority w:val="99"/>
    <w:qFormat/>
    <w:locked/>
    <w:rsid w:val="00714378"/>
    <w:pPr>
      <w:keepNext/>
      <w:spacing w:before="240" w:after="60"/>
      <w:ind w:firstLine="0"/>
      <w:jc w:val="left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7">
    <w:name w:val="heading 7"/>
    <w:basedOn w:val="a1"/>
    <w:next w:val="a1"/>
    <w:link w:val="70"/>
    <w:uiPriority w:val="99"/>
    <w:qFormat/>
    <w:rsid w:val="00514F00"/>
    <w:pPr>
      <w:keepNext/>
      <w:jc w:val="righ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14F00"/>
    <w:rPr>
      <w:rFonts w:ascii="Times New Roman" w:hAnsi="Times New Roman" w:cs="Times New Roman"/>
      <w:b/>
      <w:bCs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locked/>
    <w:rsid w:val="0071437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2"/>
    <w:link w:val="7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5">
    <w:name w:val="для таблиц"/>
    <w:basedOn w:val="a1"/>
    <w:uiPriority w:val="99"/>
    <w:rsid w:val="00514F00"/>
    <w:pPr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51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1"/>
    <w:link w:val="a7"/>
    <w:uiPriority w:val="99"/>
    <w:rsid w:val="0051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2"/>
    <w:link w:val="a6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2"/>
    <w:uiPriority w:val="99"/>
    <w:rsid w:val="00514F00"/>
  </w:style>
  <w:style w:type="character" w:styleId="a9">
    <w:name w:val="Emphasis"/>
    <w:basedOn w:val="a2"/>
    <w:uiPriority w:val="99"/>
    <w:qFormat/>
    <w:rsid w:val="00514F00"/>
    <w:rPr>
      <w:i/>
      <w:iCs/>
    </w:rPr>
  </w:style>
  <w:style w:type="paragraph" w:styleId="aa">
    <w:name w:val="Title"/>
    <w:basedOn w:val="a1"/>
    <w:link w:val="ab"/>
    <w:uiPriority w:val="99"/>
    <w:qFormat/>
    <w:locked/>
    <w:rsid w:val="009B07FA"/>
    <w:pPr>
      <w:ind w:firstLine="0"/>
      <w:jc w:val="center"/>
    </w:pPr>
    <w:rPr>
      <w:rFonts w:eastAsia="Calibri"/>
      <w:spacing w:val="60"/>
      <w:sz w:val="36"/>
      <w:szCs w:val="36"/>
    </w:rPr>
  </w:style>
  <w:style w:type="character" w:customStyle="1" w:styleId="ab">
    <w:name w:val="Название Знак"/>
    <w:basedOn w:val="a2"/>
    <w:link w:val="aa"/>
    <w:uiPriority w:val="99"/>
    <w:locked/>
    <w:rsid w:val="006926EE"/>
    <w:rPr>
      <w:rFonts w:ascii="Cambria" w:hAnsi="Cambria" w:cs="Cambria"/>
      <w:b/>
      <w:bCs/>
      <w:kern w:val="28"/>
      <w:sz w:val="32"/>
      <w:szCs w:val="32"/>
    </w:rPr>
  </w:style>
  <w:style w:type="paragraph" w:styleId="ac">
    <w:name w:val="Subtitle"/>
    <w:basedOn w:val="a1"/>
    <w:link w:val="ad"/>
    <w:uiPriority w:val="99"/>
    <w:qFormat/>
    <w:locked/>
    <w:rsid w:val="009B07FA"/>
    <w:pPr>
      <w:ind w:firstLine="0"/>
      <w:jc w:val="center"/>
    </w:pPr>
    <w:rPr>
      <w:rFonts w:eastAsia="Calibri"/>
      <w:sz w:val="36"/>
      <w:szCs w:val="36"/>
    </w:rPr>
  </w:style>
  <w:style w:type="character" w:customStyle="1" w:styleId="ad">
    <w:name w:val="Подзаголовок Знак"/>
    <w:basedOn w:val="a2"/>
    <w:link w:val="ac"/>
    <w:uiPriority w:val="99"/>
    <w:locked/>
    <w:rsid w:val="006926EE"/>
    <w:rPr>
      <w:rFonts w:ascii="Cambria" w:hAnsi="Cambria" w:cs="Cambria"/>
      <w:sz w:val="24"/>
      <w:szCs w:val="24"/>
    </w:rPr>
  </w:style>
  <w:style w:type="paragraph" w:styleId="ae">
    <w:name w:val="caption"/>
    <w:basedOn w:val="a1"/>
    <w:next w:val="a1"/>
    <w:uiPriority w:val="99"/>
    <w:qFormat/>
    <w:locked/>
    <w:rsid w:val="009B07FA"/>
    <w:pPr>
      <w:ind w:firstLine="0"/>
      <w:jc w:val="left"/>
    </w:pPr>
    <w:rPr>
      <w:rFonts w:eastAsia="Calibri"/>
      <w:b/>
      <w:bCs/>
      <w:kern w:val="28"/>
    </w:rPr>
  </w:style>
  <w:style w:type="paragraph" w:styleId="af">
    <w:name w:val="Normal (Web)"/>
    <w:basedOn w:val="a1"/>
    <w:uiPriority w:val="99"/>
    <w:rsid w:val="009B07FA"/>
    <w:pPr>
      <w:spacing w:before="225" w:after="210"/>
      <w:ind w:firstLine="0"/>
      <w:jc w:val="left"/>
    </w:pPr>
    <w:rPr>
      <w:rFonts w:eastAsia="Calibri"/>
      <w:sz w:val="24"/>
      <w:szCs w:val="24"/>
    </w:rPr>
  </w:style>
  <w:style w:type="paragraph" w:customStyle="1" w:styleId="2">
    <w:name w:val="Знак Знак2 Знак Знак Знак Знак"/>
    <w:basedOn w:val="a1"/>
    <w:uiPriority w:val="99"/>
    <w:rsid w:val="003B109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569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 Знак Знак Знак Знак Знак Знак"/>
    <w:basedOn w:val="a1"/>
    <w:uiPriority w:val="99"/>
    <w:rsid w:val="00C64AC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table" w:styleId="af1">
    <w:name w:val="Table Grid"/>
    <w:basedOn w:val="a3"/>
    <w:uiPriority w:val="99"/>
    <w:locked/>
    <w:rsid w:val="00BF5072"/>
    <w:pPr>
      <w:ind w:firstLine="709"/>
      <w:jc w:val="both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1"/>
    <w:link w:val="af2"/>
    <w:uiPriority w:val="99"/>
    <w:rsid w:val="00B041A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2">
    <w:name w:val="Абзац списка Знак"/>
    <w:basedOn w:val="a2"/>
    <w:link w:val="11"/>
    <w:uiPriority w:val="99"/>
    <w:locked/>
    <w:rsid w:val="00B041A9"/>
    <w:rPr>
      <w:rFonts w:ascii="Calibri" w:hAnsi="Calibri" w:cs="Calibri"/>
      <w:sz w:val="22"/>
      <w:szCs w:val="22"/>
      <w:lang w:val="ru-RU" w:eastAsia="en-US"/>
    </w:rPr>
  </w:style>
  <w:style w:type="paragraph" w:customStyle="1" w:styleId="21">
    <w:name w:val="Знак Знак2 Знак Знак Знак Знак1"/>
    <w:basedOn w:val="a1"/>
    <w:uiPriority w:val="99"/>
    <w:rsid w:val="00FF038F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81BC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290B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3">
    <w:name w:val="Body Text"/>
    <w:basedOn w:val="a1"/>
    <w:link w:val="af4"/>
    <w:uiPriority w:val="99"/>
    <w:rsid w:val="00290B3A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2"/>
    <w:link w:val="af3"/>
    <w:uiPriority w:val="99"/>
    <w:semiHidden/>
    <w:locked/>
    <w:rsid w:val="00C6630C"/>
    <w:rPr>
      <w:rFonts w:ascii="Times New Roman" w:hAnsi="Times New Roman" w:cs="Times New Roman"/>
      <w:sz w:val="28"/>
      <w:szCs w:val="28"/>
    </w:rPr>
  </w:style>
  <w:style w:type="paragraph" w:customStyle="1" w:styleId="a0">
    <w:name w:val="список нумерованный"/>
    <w:basedOn w:val="a"/>
    <w:uiPriority w:val="99"/>
    <w:rsid w:val="00290B3A"/>
    <w:pPr>
      <w:numPr>
        <w:numId w:val="19"/>
      </w:numPr>
      <w:spacing w:before="60"/>
    </w:pPr>
    <w:rPr>
      <w:rFonts w:eastAsia="Calibri"/>
    </w:rPr>
  </w:style>
  <w:style w:type="paragraph" w:styleId="a">
    <w:name w:val="List Number"/>
    <w:basedOn w:val="a1"/>
    <w:uiPriority w:val="99"/>
    <w:rsid w:val="00290B3A"/>
    <w:pPr>
      <w:numPr>
        <w:numId w:val="8"/>
      </w:numPr>
      <w:tabs>
        <w:tab w:val="clear" w:pos="360"/>
        <w:tab w:val="num" w:pos="2204"/>
      </w:tabs>
      <w:ind w:left="2204"/>
    </w:pPr>
  </w:style>
  <w:style w:type="paragraph" w:styleId="31">
    <w:name w:val="Body Text 3"/>
    <w:basedOn w:val="a1"/>
    <w:link w:val="32"/>
    <w:uiPriority w:val="99"/>
    <w:rsid w:val="00EF5125"/>
    <w:pPr>
      <w:spacing w:after="120"/>
      <w:ind w:firstLine="0"/>
      <w:jc w:val="left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locked/>
    <w:rsid w:val="00C6630C"/>
    <w:rPr>
      <w:rFonts w:ascii="Times New Roman" w:hAnsi="Times New Roman" w:cs="Times New Roman"/>
      <w:sz w:val="16"/>
      <w:szCs w:val="16"/>
    </w:rPr>
  </w:style>
  <w:style w:type="paragraph" w:customStyle="1" w:styleId="12">
    <w:name w:val="Знак Знак Знак Знак Знак Знак Знак Знак Знак Знак1"/>
    <w:basedOn w:val="a1"/>
    <w:uiPriority w:val="99"/>
    <w:rsid w:val="000D6794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5">
    <w:name w:val="Balloon Text"/>
    <w:basedOn w:val="a1"/>
    <w:link w:val="af6"/>
    <w:uiPriority w:val="99"/>
    <w:semiHidden/>
    <w:rsid w:val="007736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EA4E7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3203</Words>
  <Characters>18260</Characters>
  <Application>Microsoft Office Word</Application>
  <DocSecurity>0</DocSecurity>
  <Lines>152</Lines>
  <Paragraphs>42</Paragraphs>
  <ScaleCrop>false</ScaleCrop>
  <Company>Адм МО Кабанский район</Company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 Комитета территориального развития</dc:creator>
  <cp:keywords/>
  <dc:description/>
  <cp:lastModifiedBy>adm_press</cp:lastModifiedBy>
  <cp:revision>17</cp:revision>
  <cp:lastPrinted>2015-11-05T01:56:00Z</cp:lastPrinted>
  <dcterms:created xsi:type="dcterms:W3CDTF">2015-10-29T06:49:00Z</dcterms:created>
  <dcterms:modified xsi:type="dcterms:W3CDTF">2015-11-06T07:15:00Z</dcterms:modified>
</cp:coreProperties>
</file>